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26018B" w:rsidRDefault="00D5547E" w:rsidP="00822ED3">
      <w:pPr>
        <w:spacing w:after="0"/>
        <w:rPr>
          <w:rFonts w:cs="Arial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CE544A" w:rsidRPr="0026018B" w:rsidTr="005F7F7E">
        <w:tc>
          <w:tcPr>
            <w:tcW w:w="2438" w:type="dxa"/>
            <w:gridSpan w:val="2"/>
            <w:shd w:val="clear" w:color="auto" w:fill="auto"/>
          </w:tcPr>
          <w:p w:rsidR="00F445B1" w:rsidRPr="0026018B" w:rsidRDefault="00F445B1" w:rsidP="00822ED3">
            <w:pPr>
              <w:spacing w:after="0"/>
              <w:rPr>
                <w:rStyle w:val="Firstpagetablebold"/>
                <w:rFonts w:cs="Arial"/>
              </w:rPr>
            </w:pPr>
            <w:r w:rsidRPr="0026018B">
              <w:rPr>
                <w:rStyle w:val="Firstpagetablebold"/>
                <w:rFonts w:cs="Arial"/>
              </w:rPr>
              <w:t>To</w:t>
            </w:r>
            <w:r w:rsidR="005C35A5" w:rsidRPr="0026018B">
              <w:rPr>
                <w:rStyle w:val="Firstpagetablebold"/>
                <w:rFonts w:cs="Arial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26018B" w:rsidRDefault="00F445B1" w:rsidP="00822ED3">
            <w:pPr>
              <w:spacing w:after="0"/>
              <w:rPr>
                <w:rStyle w:val="Firstpagetablebold"/>
                <w:rFonts w:cs="Arial"/>
              </w:rPr>
            </w:pPr>
            <w:r w:rsidRPr="0026018B">
              <w:rPr>
                <w:rStyle w:val="Firstpagetablebold"/>
                <w:rFonts w:cs="Arial"/>
              </w:rPr>
              <w:t>City Executive Board</w:t>
            </w:r>
          </w:p>
        </w:tc>
      </w:tr>
      <w:tr w:rsidR="00CE544A" w:rsidRPr="0026018B" w:rsidTr="005F7F7E">
        <w:tc>
          <w:tcPr>
            <w:tcW w:w="2438" w:type="dxa"/>
            <w:gridSpan w:val="2"/>
            <w:shd w:val="clear" w:color="auto" w:fill="auto"/>
          </w:tcPr>
          <w:p w:rsidR="00F445B1" w:rsidRPr="0026018B" w:rsidRDefault="00F445B1" w:rsidP="00822ED3">
            <w:pPr>
              <w:spacing w:after="0"/>
              <w:rPr>
                <w:rStyle w:val="Firstpagetablebold"/>
                <w:rFonts w:cs="Arial"/>
              </w:rPr>
            </w:pPr>
            <w:r w:rsidRPr="0026018B">
              <w:rPr>
                <w:rStyle w:val="Firstpagetablebold"/>
                <w:rFonts w:cs="Arial"/>
              </w:rPr>
              <w:t>Dat</w:t>
            </w:r>
            <w:r w:rsidR="005C35A5" w:rsidRPr="0026018B">
              <w:rPr>
                <w:rStyle w:val="Firstpagetablebold"/>
                <w:rFonts w:cs="Arial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26018B" w:rsidRDefault="009B7D48" w:rsidP="002D327F">
            <w:pPr>
              <w:spacing w:after="0"/>
              <w:rPr>
                <w:rFonts w:cs="Arial"/>
                <w:b/>
              </w:rPr>
            </w:pPr>
            <w:r w:rsidRPr="0026018B">
              <w:rPr>
                <w:rStyle w:val="Firstpagetablebold"/>
                <w:rFonts w:cs="Arial"/>
              </w:rPr>
              <w:t>15 December 2016</w:t>
            </w:r>
          </w:p>
        </w:tc>
      </w:tr>
      <w:tr w:rsidR="00CE544A" w:rsidRPr="0026018B" w:rsidTr="005F7F7E">
        <w:tc>
          <w:tcPr>
            <w:tcW w:w="2438" w:type="dxa"/>
            <w:gridSpan w:val="2"/>
            <w:shd w:val="clear" w:color="auto" w:fill="auto"/>
          </w:tcPr>
          <w:p w:rsidR="00F445B1" w:rsidRPr="0026018B" w:rsidRDefault="00F445B1" w:rsidP="00822ED3">
            <w:pPr>
              <w:spacing w:after="0"/>
              <w:rPr>
                <w:rStyle w:val="Firstpagetablebold"/>
                <w:rFonts w:cs="Arial"/>
              </w:rPr>
            </w:pPr>
            <w:r w:rsidRPr="0026018B">
              <w:rPr>
                <w:rStyle w:val="Firstpagetablebold"/>
                <w:rFonts w:cs="Arial"/>
              </w:rPr>
              <w:t>Report of</w:t>
            </w:r>
            <w:r w:rsidR="005C35A5" w:rsidRPr="0026018B">
              <w:rPr>
                <w:rStyle w:val="Firstpagetablebold"/>
                <w:rFonts w:cs="Arial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26018B" w:rsidRDefault="007330EC" w:rsidP="00822ED3">
            <w:pPr>
              <w:spacing w:after="0"/>
              <w:rPr>
                <w:rStyle w:val="Firstpagetablebold"/>
                <w:rFonts w:cs="Arial"/>
              </w:rPr>
            </w:pPr>
            <w:r>
              <w:rPr>
                <w:rStyle w:val="Firstpagetablebold"/>
                <w:rFonts w:cs="Arial"/>
              </w:rPr>
              <w:t>Assistant Chief E</w:t>
            </w:r>
            <w:r w:rsidR="009B7D48" w:rsidRPr="0026018B">
              <w:rPr>
                <w:rStyle w:val="Firstpagetablebold"/>
                <w:rFonts w:cs="Arial"/>
              </w:rPr>
              <w:t>xecutive</w:t>
            </w:r>
          </w:p>
        </w:tc>
      </w:tr>
      <w:tr w:rsidR="00CE544A" w:rsidRPr="0026018B" w:rsidTr="005F7F7E">
        <w:tc>
          <w:tcPr>
            <w:tcW w:w="2438" w:type="dxa"/>
            <w:gridSpan w:val="2"/>
            <w:shd w:val="clear" w:color="auto" w:fill="auto"/>
          </w:tcPr>
          <w:p w:rsidR="00F445B1" w:rsidRPr="0026018B" w:rsidRDefault="00F445B1" w:rsidP="00822ED3">
            <w:pPr>
              <w:spacing w:after="0"/>
              <w:rPr>
                <w:rStyle w:val="Firstpagetablebold"/>
                <w:rFonts w:cs="Arial"/>
              </w:rPr>
            </w:pPr>
            <w:r w:rsidRPr="0026018B">
              <w:rPr>
                <w:rStyle w:val="Firstpagetablebold"/>
                <w:rFonts w:cs="Arial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Default="009B7D48" w:rsidP="00822ED3">
            <w:pPr>
              <w:spacing w:after="0"/>
              <w:rPr>
                <w:rStyle w:val="Firstpagetablebold"/>
                <w:rFonts w:cs="Arial"/>
              </w:rPr>
            </w:pPr>
            <w:r w:rsidRPr="0026018B">
              <w:rPr>
                <w:rStyle w:val="Firstpagetablebold"/>
                <w:rFonts w:cs="Arial"/>
              </w:rPr>
              <w:t>Devolution update – Combined Authority and directly Elected Mayor proposal</w:t>
            </w:r>
          </w:p>
          <w:p w:rsidR="0026018B" w:rsidRDefault="0026018B" w:rsidP="00822ED3">
            <w:pPr>
              <w:spacing w:after="0"/>
              <w:rPr>
                <w:rStyle w:val="Firstpagetablebold"/>
                <w:rFonts w:cs="Arial"/>
              </w:rPr>
            </w:pPr>
          </w:p>
          <w:p w:rsidR="0026018B" w:rsidRPr="0026018B" w:rsidRDefault="0026018B" w:rsidP="00822ED3">
            <w:pPr>
              <w:spacing w:after="0"/>
              <w:rPr>
                <w:rStyle w:val="Firstpagetablebold"/>
                <w:rFonts w:cs="Arial"/>
              </w:rPr>
            </w:pPr>
          </w:p>
        </w:tc>
      </w:tr>
      <w:tr w:rsidR="00D5547E" w:rsidRPr="0026018B" w:rsidTr="008074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:rsidR="00D5547E" w:rsidRPr="0026018B" w:rsidRDefault="00745BF0" w:rsidP="00822ED3">
            <w:pPr>
              <w:spacing w:after="0"/>
              <w:jc w:val="center"/>
              <w:rPr>
                <w:rStyle w:val="Firstpagetablebold"/>
                <w:rFonts w:cs="Arial"/>
              </w:rPr>
            </w:pPr>
            <w:r w:rsidRPr="0026018B">
              <w:rPr>
                <w:rStyle w:val="Firstpagetablebold"/>
                <w:rFonts w:cs="Arial"/>
              </w:rPr>
              <w:t>Summary and r</w:t>
            </w:r>
            <w:r w:rsidR="00D5547E" w:rsidRPr="0026018B">
              <w:rPr>
                <w:rStyle w:val="Firstpagetablebold"/>
                <w:rFonts w:cs="Arial"/>
              </w:rPr>
              <w:t>ecommendations</w:t>
            </w:r>
          </w:p>
        </w:tc>
      </w:tr>
      <w:tr w:rsidR="00D5547E" w:rsidRPr="0026018B" w:rsidTr="008074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Pr="0026018B" w:rsidRDefault="00D5547E" w:rsidP="00822ED3">
            <w:pPr>
              <w:spacing w:after="0"/>
              <w:rPr>
                <w:rStyle w:val="Firstpagetablebold"/>
                <w:rFonts w:cs="Arial"/>
              </w:rPr>
            </w:pPr>
            <w:r w:rsidRPr="0026018B">
              <w:rPr>
                <w:rStyle w:val="Firstpagetablebold"/>
                <w:rFonts w:cs="Arial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540A8B" w:rsidRPr="0026018B" w:rsidRDefault="009B7D48" w:rsidP="002D327F">
            <w:pPr>
              <w:spacing w:after="0"/>
              <w:rPr>
                <w:rFonts w:cs="Arial"/>
                <w:color w:val="auto"/>
                <w:spacing w:val="-2"/>
              </w:rPr>
            </w:pPr>
            <w:r w:rsidRPr="009B7D48">
              <w:rPr>
                <w:rFonts w:cs="Arial"/>
                <w:color w:val="auto"/>
              </w:rPr>
              <w:t>To</w:t>
            </w:r>
            <w:r w:rsidRPr="0026018B">
              <w:rPr>
                <w:rFonts w:cs="Arial"/>
                <w:color w:val="auto"/>
              </w:rPr>
              <w:t xml:space="preserve"> update members on recent developments on devolution and</w:t>
            </w:r>
            <w:r w:rsidRPr="009B7D48">
              <w:rPr>
                <w:rFonts w:cs="Arial"/>
                <w:color w:val="auto"/>
              </w:rPr>
              <w:t xml:space="preserve"> consider making a recommendation to Council </w:t>
            </w:r>
            <w:r w:rsidR="00540A8B" w:rsidRPr="0026018B">
              <w:rPr>
                <w:rFonts w:cs="Arial"/>
                <w:color w:val="auto"/>
                <w:spacing w:val="-2"/>
              </w:rPr>
              <w:t>to support in principle the submission</w:t>
            </w:r>
            <w:r w:rsidR="00540A8B" w:rsidRPr="00A15F7B">
              <w:rPr>
                <w:rFonts w:cs="Arial"/>
                <w:color w:val="auto"/>
                <w:spacing w:val="-2"/>
              </w:rPr>
              <w:t xml:space="preserve"> of a devolution bid </w:t>
            </w:r>
            <w:r w:rsidR="00540A8B" w:rsidRPr="0026018B">
              <w:rPr>
                <w:rFonts w:cs="Arial"/>
                <w:color w:val="auto"/>
                <w:spacing w:val="-2"/>
              </w:rPr>
              <w:t>with a governance model</w:t>
            </w:r>
            <w:r w:rsidR="00540A8B" w:rsidRPr="00A15F7B">
              <w:rPr>
                <w:rFonts w:cs="Arial"/>
                <w:color w:val="auto"/>
                <w:spacing w:val="-2"/>
              </w:rPr>
              <w:t xml:space="preserve"> </w:t>
            </w:r>
            <w:r w:rsidR="00540A8B" w:rsidRPr="0026018B">
              <w:rPr>
                <w:rFonts w:cs="Arial"/>
                <w:color w:val="auto"/>
                <w:spacing w:val="-2"/>
              </w:rPr>
              <w:t xml:space="preserve">based on the current two-tier structure for local </w:t>
            </w:r>
            <w:r w:rsidR="00F74F34" w:rsidRPr="0026018B">
              <w:rPr>
                <w:rFonts w:cs="Arial"/>
                <w:color w:val="auto"/>
                <w:spacing w:val="-2"/>
              </w:rPr>
              <w:t>government with</w:t>
            </w:r>
            <w:r w:rsidR="00540A8B" w:rsidRPr="0026018B">
              <w:rPr>
                <w:rFonts w:cs="Arial"/>
                <w:color w:val="auto"/>
                <w:spacing w:val="-2"/>
              </w:rPr>
              <w:t xml:space="preserve"> a </w:t>
            </w:r>
            <w:r w:rsidR="00540A8B" w:rsidRPr="00A15F7B">
              <w:rPr>
                <w:rFonts w:cs="Arial"/>
                <w:color w:val="auto"/>
                <w:spacing w:val="-2"/>
              </w:rPr>
              <w:t>comb</w:t>
            </w:r>
            <w:r w:rsidR="00540A8B" w:rsidRPr="0026018B">
              <w:rPr>
                <w:rFonts w:cs="Arial"/>
                <w:color w:val="auto"/>
                <w:spacing w:val="-2"/>
              </w:rPr>
              <w:t>ined authority and elected mayor.</w:t>
            </w:r>
          </w:p>
          <w:p w:rsidR="00D5547E" w:rsidRPr="0026018B" w:rsidRDefault="00D5547E" w:rsidP="00822ED3">
            <w:pPr>
              <w:spacing w:after="0"/>
              <w:rPr>
                <w:rFonts w:cs="Arial"/>
                <w:color w:val="auto"/>
              </w:rPr>
            </w:pPr>
          </w:p>
        </w:tc>
      </w:tr>
      <w:tr w:rsidR="00D5547E" w:rsidRPr="0026018B" w:rsidTr="008074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Pr="0026018B" w:rsidRDefault="00D5547E" w:rsidP="00822ED3">
            <w:pPr>
              <w:spacing w:after="0"/>
              <w:rPr>
                <w:rStyle w:val="Firstpagetablebold"/>
                <w:rFonts w:cs="Arial"/>
              </w:rPr>
            </w:pPr>
            <w:r w:rsidRPr="0026018B">
              <w:rPr>
                <w:rStyle w:val="Firstpagetablebold"/>
                <w:rFonts w:cs="Arial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26018B" w:rsidRDefault="0026018B" w:rsidP="00822ED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D5547E" w:rsidRPr="0026018B" w:rsidTr="008074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Pr="0026018B" w:rsidRDefault="00D5547E" w:rsidP="00822ED3">
            <w:pPr>
              <w:spacing w:after="0"/>
              <w:rPr>
                <w:rStyle w:val="Firstpagetablebold"/>
                <w:rFonts w:cs="Arial"/>
              </w:rPr>
            </w:pPr>
            <w:r w:rsidRPr="0026018B">
              <w:rPr>
                <w:rStyle w:val="Firstpagetablebold"/>
                <w:rFonts w:cs="Arial"/>
              </w:rPr>
              <w:t>Executive Board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Default="00D5547E" w:rsidP="002D327F">
            <w:pPr>
              <w:spacing w:after="0"/>
              <w:rPr>
                <w:rFonts w:cs="Arial"/>
              </w:rPr>
            </w:pPr>
            <w:r w:rsidRPr="0026018B">
              <w:rPr>
                <w:rFonts w:cs="Arial"/>
              </w:rPr>
              <w:t xml:space="preserve">Councillor </w:t>
            </w:r>
            <w:r w:rsidR="009B7D48" w:rsidRPr="0026018B">
              <w:rPr>
                <w:rFonts w:cs="Arial"/>
              </w:rPr>
              <w:t xml:space="preserve">Bob Price; </w:t>
            </w:r>
            <w:r w:rsidR="002D327F">
              <w:rPr>
                <w:rFonts w:cs="Arial"/>
              </w:rPr>
              <w:t>Corporate Strategy and Economic Development</w:t>
            </w:r>
          </w:p>
          <w:p w:rsidR="002D327F" w:rsidRPr="0026018B" w:rsidRDefault="002D327F" w:rsidP="002D327F">
            <w:pPr>
              <w:spacing w:after="0"/>
              <w:rPr>
                <w:rFonts w:cs="Arial"/>
              </w:rPr>
            </w:pPr>
          </w:p>
        </w:tc>
      </w:tr>
      <w:tr w:rsidR="0080749A" w:rsidRPr="0026018B" w:rsidTr="008074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749A" w:rsidRPr="0026018B" w:rsidRDefault="0080749A" w:rsidP="00822ED3">
            <w:pPr>
              <w:spacing w:after="0"/>
              <w:rPr>
                <w:rStyle w:val="Firstpagetablebold"/>
                <w:rFonts w:cs="Arial"/>
              </w:rPr>
            </w:pPr>
            <w:r w:rsidRPr="0026018B">
              <w:rPr>
                <w:rStyle w:val="Firstpagetablebold"/>
                <w:rFonts w:cs="Arial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0749A" w:rsidRPr="0026018B" w:rsidRDefault="0026018B" w:rsidP="00822ED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Sustainable Vibrant Economy; Meeting Housing Needs</w:t>
            </w:r>
          </w:p>
        </w:tc>
      </w:tr>
      <w:tr w:rsidR="00D5547E" w:rsidRPr="0026018B" w:rsidTr="008074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Pr="0026018B" w:rsidRDefault="00D5547E" w:rsidP="00822ED3">
            <w:pPr>
              <w:spacing w:after="0"/>
              <w:rPr>
                <w:rStyle w:val="Firstpagetablebold"/>
                <w:rFonts w:cs="Arial"/>
              </w:rPr>
            </w:pPr>
            <w:r w:rsidRPr="0026018B">
              <w:rPr>
                <w:rStyle w:val="Firstpagetablebold"/>
                <w:rFonts w:cs="Arial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Default="009B7D48" w:rsidP="00822ED3">
            <w:pPr>
              <w:spacing w:after="0"/>
              <w:rPr>
                <w:rFonts w:cs="Arial"/>
              </w:rPr>
            </w:pPr>
            <w:r w:rsidRPr="0026018B">
              <w:rPr>
                <w:rFonts w:cs="Arial"/>
              </w:rPr>
              <w:t>None</w:t>
            </w:r>
            <w:r w:rsidR="00D5547E" w:rsidRPr="0026018B">
              <w:rPr>
                <w:rFonts w:cs="Arial"/>
              </w:rPr>
              <w:t>.</w:t>
            </w:r>
          </w:p>
          <w:p w:rsidR="002D327F" w:rsidRPr="0026018B" w:rsidRDefault="002D327F" w:rsidP="00822ED3">
            <w:pPr>
              <w:spacing w:after="0"/>
              <w:rPr>
                <w:rFonts w:cs="Arial"/>
              </w:rPr>
            </w:pPr>
          </w:p>
        </w:tc>
      </w:tr>
      <w:tr w:rsidR="005F7F7E" w:rsidRPr="0026018B" w:rsidTr="00A46E9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:rsidR="005F7F7E" w:rsidRPr="0026018B" w:rsidRDefault="002D327F" w:rsidP="002D327F">
            <w:pPr>
              <w:spacing w:after="0"/>
              <w:rPr>
                <w:rFonts w:cs="Arial"/>
              </w:rPr>
            </w:pPr>
            <w:r>
              <w:rPr>
                <w:rStyle w:val="Firstpagetablebold"/>
                <w:rFonts w:cs="Arial"/>
              </w:rPr>
              <w:t>Recommendation</w:t>
            </w:r>
            <w:r w:rsidR="005F7F7E" w:rsidRPr="0026018B">
              <w:rPr>
                <w:rStyle w:val="Firstpagetablebold"/>
                <w:rFonts w:cs="Arial"/>
              </w:rPr>
              <w:t>:</w:t>
            </w:r>
            <w:r>
              <w:rPr>
                <w:rStyle w:val="Firstpagetablebold"/>
                <w:rFonts w:cs="Arial"/>
              </w:rPr>
              <w:t xml:space="preserve"> </w:t>
            </w:r>
            <w:r w:rsidR="005F7F7E" w:rsidRPr="002D327F">
              <w:rPr>
                <w:rStyle w:val="Firstpagetablebold"/>
                <w:rFonts w:cs="Arial"/>
                <w:b w:val="0"/>
              </w:rPr>
              <w:t>That the City Executive Board resolves to:</w:t>
            </w:r>
          </w:p>
        </w:tc>
      </w:tr>
      <w:tr w:rsidR="009B7D48" w:rsidRPr="0026018B" w:rsidTr="00A46E9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B7D48" w:rsidRPr="0026018B" w:rsidRDefault="009B7D48" w:rsidP="00822ED3">
            <w:pPr>
              <w:spacing w:after="0"/>
              <w:rPr>
                <w:rFonts w:cs="Arial"/>
              </w:rPr>
            </w:pPr>
            <w:r w:rsidRPr="0026018B">
              <w:rPr>
                <w:rFonts w:cs="Arial"/>
              </w:rPr>
              <w:t>1.</w:t>
            </w: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B7D48" w:rsidRPr="0026018B" w:rsidRDefault="000A30A5" w:rsidP="00931484">
            <w:pPr>
              <w:spacing w:after="0"/>
              <w:rPr>
                <w:rFonts w:cs="Arial"/>
              </w:rPr>
            </w:pPr>
            <w:r w:rsidRPr="002D327F">
              <w:rPr>
                <w:rFonts w:cs="Arial"/>
                <w:b/>
                <w:color w:val="auto"/>
              </w:rPr>
              <w:t>Recommend</w:t>
            </w:r>
            <w:r w:rsidR="009B7D48" w:rsidRPr="002D327F">
              <w:rPr>
                <w:rFonts w:cs="Arial"/>
                <w:b/>
                <w:color w:val="auto"/>
              </w:rPr>
              <w:t xml:space="preserve"> to Council</w:t>
            </w:r>
            <w:r w:rsidR="009B7D48" w:rsidRPr="009B7D48">
              <w:rPr>
                <w:rFonts w:cs="Arial"/>
                <w:color w:val="auto"/>
              </w:rPr>
              <w:t xml:space="preserve"> </w:t>
            </w:r>
            <w:r w:rsidR="00931484">
              <w:t xml:space="preserve"> that it approves the inclusion of the City Council in the submission of </w:t>
            </w:r>
            <w:r w:rsidR="00931484">
              <w:t xml:space="preserve">a </w:t>
            </w:r>
            <w:r w:rsidR="00931484">
              <w:t>devolu</w:t>
            </w:r>
            <w:bookmarkStart w:id="0" w:name="_GoBack"/>
            <w:bookmarkEnd w:id="0"/>
            <w:r w:rsidR="00931484">
              <w:t>tion bid to government for a combined authority and a directly elected mayor</w:t>
            </w:r>
          </w:p>
        </w:tc>
      </w:tr>
    </w:tbl>
    <w:p w:rsidR="00CE544A" w:rsidRPr="0026018B" w:rsidRDefault="00CE544A" w:rsidP="00822ED3">
      <w:pPr>
        <w:spacing w:after="0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26018B" w:rsidTr="002D327F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26018B" w:rsidRDefault="00966D42" w:rsidP="00822ED3">
            <w:pPr>
              <w:spacing w:after="0"/>
              <w:jc w:val="center"/>
              <w:rPr>
                <w:rFonts w:cs="Arial"/>
              </w:rPr>
            </w:pPr>
            <w:r w:rsidRPr="0026018B">
              <w:rPr>
                <w:rStyle w:val="Firstpagetablebold"/>
                <w:rFonts w:cs="Arial"/>
              </w:rPr>
              <w:t>Appendices</w:t>
            </w:r>
          </w:p>
        </w:tc>
      </w:tr>
      <w:tr w:rsidR="00ED5860" w:rsidRPr="0026018B" w:rsidTr="002D327F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5860" w:rsidRPr="0026018B" w:rsidRDefault="00ED5860" w:rsidP="00822ED3">
            <w:pPr>
              <w:spacing w:after="0"/>
              <w:rPr>
                <w:rFonts w:cs="Arial"/>
              </w:rPr>
            </w:pPr>
            <w:r w:rsidRPr="0026018B">
              <w:rPr>
                <w:rFonts w:cs="Arial"/>
              </w:rPr>
              <w:t>Appendix 1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26018B" w:rsidRPr="002D327F" w:rsidRDefault="0026018B" w:rsidP="0026018B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color w:val="auto"/>
              </w:rPr>
            </w:pPr>
            <w:r w:rsidRPr="002D327F">
              <w:rPr>
                <w:rFonts w:cs="Arial"/>
                <w:bCs/>
                <w:color w:val="auto"/>
              </w:rPr>
              <w:t>OXFORDSHIRE GROWTH BOARD – 30 NOVEMBER 2016  Growth Board Work Programme Review</w:t>
            </w:r>
          </w:p>
          <w:p w:rsidR="00ED5860" w:rsidRPr="0026018B" w:rsidRDefault="00ED5860" w:rsidP="00822ED3">
            <w:pPr>
              <w:spacing w:after="0"/>
              <w:rPr>
                <w:rFonts w:cs="Arial"/>
              </w:rPr>
            </w:pPr>
          </w:p>
        </w:tc>
      </w:tr>
    </w:tbl>
    <w:p w:rsidR="009B7D48" w:rsidRPr="0026018B" w:rsidRDefault="009B7D48" w:rsidP="00822ED3">
      <w:pPr>
        <w:pStyle w:val="Heading1"/>
        <w:spacing w:before="0" w:after="0"/>
        <w:rPr>
          <w:rFonts w:cs="Arial"/>
        </w:rPr>
      </w:pPr>
    </w:p>
    <w:p w:rsidR="0026018B" w:rsidRDefault="0026018B" w:rsidP="00822ED3">
      <w:pPr>
        <w:pStyle w:val="Heading1"/>
        <w:spacing w:before="0" w:after="0"/>
        <w:rPr>
          <w:rFonts w:cs="Arial"/>
        </w:rPr>
      </w:pPr>
    </w:p>
    <w:p w:rsidR="0040736F" w:rsidRPr="0026018B" w:rsidRDefault="00F66DCA" w:rsidP="00822ED3">
      <w:pPr>
        <w:pStyle w:val="Heading1"/>
        <w:spacing w:before="0" w:after="0"/>
        <w:rPr>
          <w:rFonts w:cs="Arial"/>
        </w:rPr>
      </w:pPr>
      <w:r w:rsidRPr="0026018B">
        <w:rPr>
          <w:rFonts w:cs="Arial"/>
        </w:rPr>
        <w:t>Introduction and b</w:t>
      </w:r>
      <w:r w:rsidR="00151888" w:rsidRPr="0026018B">
        <w:rPr>
          <w:rFonts w:cs="Arial"/>
        </w:rPr>
        <w:t>ackground</w:t>
      </w:r>
      <w:r w:rsidR="00404032" w:rsidRPr="0026018B">
        <w:rPr>
          <w:rFonts w:cs="Arial"/>
        </w:rPr>
        <w:t xml:space="preserve"> </w:t>
      </w:r>
    </w:p>
    <w:p w:rsidR="009B7D48" w:rsidRPr="009B7D48" w:rsidRDefault="009B7D48" w:rsidP="00822ED3">
      <w:pPr>
        <w:spacing w:after="0"/>
        <w:rPr>
          <w:rFonts w:cs="Arial"/>
          <w:b/>
          <w:color w:val="auto"/>
        </w:rPr>
      </w:pPr>
    </w:p>
    <w:p w:rsidR="009B7D48" w:rsidRPr="0026018B" w:rsidRDefault="008C0318" w:rsidP="00540A8B">
      <w:pPr>
        <w:numPr>
          <w:ilvl w:val="0"/>
          <w:numId w:val="37"/>
        </w:numPr>
        <w:spacing w:after="0"/>
        <w:ind w:left="360"/>
        <w:rPr>
          <w:rFonts w:cs="Arial"/>
          <w:color w:val="auto"/>
        </w:rPr>
      </w:pPr>
      <w:r w:rsidRPr="0026018B">
        <w:rPr>
          <w:rFonts w:cs="Arial"/>
          <w:color w:val="auto"/>
        </w:rPr>
        <w:t>Following publication of the studies commissioned by</w:t>
      </w:r>
      <w:r w:rsidR="0026018B">
        <w:rPr>
          <w:rFonts w:cs="Arial"/>
          <w:color w:val="auto"/>
        </w:rPr>
        <w:t xml:space="preserve"> the County, City and District C</w:t>
      </w:r>
      <w:r w:rsidRPr="0026018B">
        <w:rPr>
          <w:rFonts w:cs="Arial"/>
          <w:color w:val="auto"/>
        </w:rPr>
        <w:t xml:space="preserve">ouncils into options for unitary government and further work to consider the options, it is clear that there is no consensus between the Oxfordshire councils on a way forward for unitary government in the county. </w:t>
      </w:r>
    </w:p>
    <w:p w:rsidR="00454E6D" w:rsidRPr="0026018B" w:rsidRDefault="00454E6D" w:rsidP="00540A8B">
      <w:pPr>
        <w:spacing w:after="0"/>
        <w:ind w:left="-360"/>
        <w:rPr>
          <w:rFonts w:cs="Arial"/>
          <w:color w:val="auto"/>
        </w:rPr>
      </w:pPr>
    </w:p>
    <w:p w:rsidR="00454E6D" w:rsidRPr="0026018B" w:rsidRDefault="0054735A" w:rsidP="00540A8B">
      <w:pPr>
        <w:numPr>
          <w:ilvl w:val="0"/>
          <w:numId w:val="37"/>
        </w:numPr>
        <w:spacing w:after="0"/>
        <w:ind w:left="360"/>
        <w:rPr>
          <w:rFonts w:cs="Arial"/>
          <w:color w:val="auto"/>
        </w:rPr>
      </w:pPr>
      <w:r w:rsidRPr="0026018B">
        <w:rPr>
          <w:rFonts w:cs="Arial"/>
          <w:color w:val="auto"/>
        </w:rPr>
        <w:t xml:space="preserve">Advice from </w:t>
      </w:r>
      <w:r w:rsidR="00454E6D" w:rsidRPr="0026018B">
        <w:rPr>
          <w:rFonts w:cs="Arial"/>
          <w:color w:val="auto"/>
        </w:rPr>
        <w:t>DCLG officials and</w:t>
      </w:r>
      <w:r w:rsidRPr="0026018B">
        <w:rPr>
          <w:rFonts w:cs="Arial"/>
          <w:color w:val="auto"/>
        </w:rPr>
        <w:t xml:space="preserve"> statements from</w:t>
      </w:r>
      <w:r w:rsidR="00454E6D" w:rsidRPr="0026018B">
        <w:rPr>
          <w:rFonts w:cs="Arial"/>
          <w:color w:val="auto"/>
        </w:rPr>
        <w:t xml:space="preserve"> the Secretary of State for Communities and Local Government</w:t>
      </w:r>
      <w:r w:rsidR="001104CE" w:rsidRPr="0026018B">
        <w:rPr>
          <w:rFonts w:cs="Arial"/>
          <w:color w:val="auto"/>
        </w:rPr>
        <w:t xml:space="preserve"> have made it clear that</w:t>
      </w:r>
      <w:r w:rsidR="0026018B">
        <w:rPr>
          <w:rFonts w:cs="Arial"/>
          <w:color w:val="auto"/>
        </w:rPr>
        <w:t xml:space="preserve"> it will not impose </w:t>
      </w:r>
      <w:r w:rsidR="0026018B">
        <w:rPr>
          <w:rFonts w:cs="Arial"/>
          <w:color w:val="auto"/>
        </w:rPr>
        <w:lastRenderedPageBreak/>
        <w:t>unitary solutions and that</w:t>
      </w:r>
      <w:r w:rsidR="001104CE" w:rsidRPr="0026018B">
        <w:rPr>
          <w:rFonts w:cs="Arial"/>
          <w:color w:val="auto"/>
        </w:rPr>
        <w:t xml:space="preserve"> for unitary proposals to progress they would need to </w:t>
      </w:r>
      <w:r w:rsidR="0026018B">
        <w:rPr>
          <w:rFonts w:cs="Arial"/>
          <w:color w:val="auto"/>
        </w:rPr>
        <w:t>demonstrate</w:t>
      </w:r>
      <w:r w:rsidR="001104CE" w:rsidRPr="0026018B">
        <w:rPr>
          <w:rFonts w:cs="Arial"/>
          <w:color w:val="auto"/>
        </w:rPr>
        <w:t xml:space="preserve"> a broad consensus of support from key local stakeholders.  </w:t>
      </w:r>
    </w:p>
    <w:p w:rsidR="00822ED3" w:rsidRPr="0026018B" w:rsidRDefault="00822ED3" w:rsidP="00540A8B">
      <w:pPr>
        <w:pStyle w:val="ReportPara"/>
        <w:tabs>
          <w:tab w:val="clear" w:pos="792"/>
        </w:tabs>
        <w:spacing w:after="0"/>
        <w:ind w:left="0" w:firstLine="0"/>
        <w:rPr>
          <w:rFonts w:ascii="Arial" w:hAnsi="Arial" w:cs="Arial"/>
          <w:szCs w:val="24"/>
        </w:rPr>
      </w:pPr>
    </w:p>
    <w:p w:rsidR="007B522D" w:rsidRPr="0026018B" w:rsidRDefault="00822ED3" w:rsidP="00540A8B">
      <w:pPr>
        <w:pStyle w:val="ReportPara"/>
        <w:numPr>
          <w:ilvl w:val="0"/>
          <w:numId w:val="37"/>
        </w:numPr>
        <w:spacing w:after="0"/>
        <w:ind w:left="360"/>
        <w:rPr>
          <w:rFonts w:ascii="Arial" w:hAnsi="Arial" w:cs="Arial"/>
          <w:szCs w:val="24"/>
        </w:rPr>
      </w:pPr>
      <w:r w:rsidRPr="0026018B">
        <w:rPr>
          <w:rFonts w:ascii="Arial" w:hAnsi="Arial" w:cs="Arial"/>
          <w:szCs w:val="24"/>
        </w:rPr>
        <w:t>It</w:t>
      </w:r>
      <w:r w:rsidR="007B522D" w:rsidRPr="0026018B">
        <w:rPr>
          <w:rFonts w:ascii="Arial" w:hAnsi="Arial" w:cs="Arial"/>
          <w:szCs w:val="24"/>
        </w:rPr>
        <w:t xml:space="preserve"> has become increasingly clear </w:t>
      </w:r>
      <w:r w:rsidR="005C3262" w:rsidRPr="0026018B">
        <w:rPr>
          <w:rFonts w:ascii="Arial" w:hAnsi="Arial" w:cs="Arial"/>
          <w:szCs w:val="24"/>
        </w:rPr>
        <w:t xml:space="preserve">that allocation of investment by government </w:t>
      </w:r>
      <w:r w:rsidRPr="0026018B">
        <w:rPr>
          <w:rFonts w:ascii="Arial" w:hAnsi="Arial" w:cs="Arial"/>
          <w:szCs w:val="24"/>
        </w:rPr>
        <w:t>is being directed to</w:t>
      </w:r>
      <w:r w:rsidR="005C3262" w:rsidRPr="0026018B">
        <w:rPr>
          <w:rFonts w:ascii="Arial" w:hAnsi="Arial" w:cs="Arial"/>
          <w:szCs w:val="24"/>
        </w:rPr>
        <w:t xml:space="preserve"> those areas that are able to </w:t>
      </w:r>
      <w:r w:rsidR="0026018B">
        <w:rPr>
          <w:rFonts w:ascii="Arial" w:hAnsi="Arial" w:cs="Arial"/>
          <w:szCs w:val="24"/>
        </w:rPr>
        <w:t>agree</w:t>
      </w:r>
      <w:r w:rsidR="005C3262" w:rsidRPr="0026018B">
        <w:rPr>
          <w:rFonts w:ascii="Arial" w:hAnsi="Arial" w:cs="Arial"/>
          <w:szCs w:val="24"/>
        </w:rPr>
        <w:t xml:space="preserve"> strong arrangements for collective governance. This is reflected in those areas that have been successful in securing devolution deal</w:t>
      </w:r>
      <w:r w:rsidRPr="0026018B">
        <w:rPr>
          <w:rFonts w:ascii="Arial" w:hAnsi="Arial" w:cs="Arial"/>
          <w:szCs w:val="24"/>
        </w:rPr>
        <w:t>s</w:t>
      </w:r>
      <w:r w:rsidR="005C3262" w:rsidRPr="0026018B">
        <w:rPr>
          <w:rFonts w:ascii="Arial" w:hAnsi="Arial" w:cs="Arial"/>
          <w:szCs w:val="24"/>
        </w:rPr>
        <w:t xml:space="preserve">, </w:t>
      </w:r>
      <w:r w:rsidRPr="0026018B">
        <w:rPr>
          <w:rFonts w:ascii="Arial" w:hAnsi="Arial" w:cs="Arial"/>
          <w:szCs w:val="24"/>
        </w:rPr>
        <w:t>such as</w:t>
      </w:r>
      <w:r w:rsidR="005C3262" w:rsidRPr="0026018B">
        <w:rPr>
          <w:rFonts w:ascii="Arial" w:hAnsi="Arial" w:cs="Arial"/>
          <w:szCs w:val="24"/>
        </w:rPr>
        <w:t xml:space="preserve"> Cambridge and Peterborough, from recent Local Growth Fund allocations (in which Oxfordshire received a disappointing allocation) and from the recommendations of the National Infrastructure Commission’s report on the Oxford-Milton Keynes-Cambridge strategy. </w:t>
      </w:r>
      <w:r w:rsidRPr="0026018B">
        <w:rPr>
          <w:rFonts w:ascii="Arial" w:hAnsi="Arial" w:cs="Arial"/>
          <w:szCs w:val="24"/>
        </w:rPr>
        <w:t xml:space="preserve"> </w:t>
      </w:r>
    </w:p>
    <w:p w:rsidR="00822ED3" w:rsidRPr="0026018B" w:rsidRDefault="00822ED3" w:rsidP="00540A8B">
      <w:pPr>
        <w:pStyle w:val="ReportPara"/>
        <w:tabs>
          <w:tab w:val="clear" w:pos="792"/>
        </w:tabs>
        <w:spacing w:after="0"/>
        <w:ind w:left="0" w:firstLine="0"/>
        <w:rPr>
          <w:rFonts w:ascii="Arial" w:hAnsi="Arial" w:cs="Arial"/>
          <w:szCs w:val="24"/>
        </w:rPr>
      </w:pPr>
    </w:p>
    <w:p w:rsidR="00822ED3" w:rsidRPr="00822ED3" w:rsidRDefault="00822ED3" w:rsidP="00540A8B">
      <w:pPr>
        <w:numPr>
          <w:ilvl w:val="0"/>
          <w:numId w:val="37"/>
        </w:numPr>
        <w:spacing w:after="0"/>
        <w:ind w:left="360"/>
        <w:contextualSpacing/>
        <w:rPr>
          <w:rFonts w:cs="Arial"/>
          <w:color w:val="auto"/>
        </w:rPr>
      </w:pPr>
      <w:r w:rsidRPr="0026018B">
        <w:rPr>
          <w:rFonts w:cs="Arial"/>
        </w:rPr>
        <w:t xml:space="preserve">It is also clear that there is a strong economic case for devolution and investment in Oxfordshire and a window of opportunity </w:t>
      </w:r>
      <w:r w:rsidR="004643B1" w:rsidRPr="0026018B">
        <w:rPr>
          <w:rFonts w:cs="Arial"/>
        </w:rPr>
        <w:t xml:space="preserve">in which to make it. The Autumn Statement announced investment in infrastructure, housing </w:t>
      </w:r>
      <w:r w:rsidR="0026018B">
        <w:rPr>
          <w:rFonts w:cs="Arial"/>
        </w:rPr>
        <w:t xml:space="preserve">delivery </w:t>
      </w:r>
      <w:r w:rsidR="004643B1" w:rsidRPr="0026018B">
        <w:rPr>
          <w:rFonts w:cs="Arial"/>
        </w:rPr>
        <w:t>and science and innovation that can support productivity. The NICs work on the Oxford-Milton Keynes – Cambridge corridor makes it clear that</w:t>
      </w:r>
      <w:r w:rsidR="004643B1" w:rsidRPr="0026018B">
        <w:rPr>
          <w:rFonts w:cs="Arial"/>
          <w:kern w:val="24"/>
        </w:rPr>
        <w:t xml:space="preserve"> housing delivery and local transport networks are critical to securing the economic benefits </w:t>
      </w:r>
      <w:r w:rsidR="00792DD7" w:rsidRPr="0026018B">
        <w:rPr>
          <w:rFonts w:cs="Arial"/>
          <w:kern w:val="24"/>
        </w:rPr>
        <w:t>identified. The next phase of the work will look at the governance and delivery arrangements across the corridor and</w:t>
      </w:r>
      <w:r w:rsidR="00792DD7" w:rsidRPr="0026018B">
        <w:rPr>
          <w:rFonts w:cs="Arial"/>
        </w:rPr>
        <w:t xml:space="preserve"> a coherent and collective pitch from Oxfordshire will be critical to securing the best outcomes for our area. </w:t>
      </w:r>
    </w:p>
    <w:p w:rsidR="006928CC" w:rsidRPr="0026018B" w:rsidRDefault="006928CC" w:rsidP="00540A8B">
      <w:pPr>
        <w:spacing w:after="0"/>
        <w:ind w:left="-360"/>
        <w:rPr>
          <w:rFonts w:cs="Arial"/>
          <w:color w:val="auto"/>
        </w:rPr>
      </w:pPr>
    </w:p>
    <w:p w:rsidR="0019179B" w:rsidRPr="0026018B" w:rsidRDefault="002C39A4" w:rsidP="00540A8B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60"/>
        <w:rPr>
          <w:rFonts w:eastAsia="Calibri" w:cs="Arial"/>
          <w:lang w:eastAsia="en-US"/>
        </w:rPr>
      </w:pPr>
      <w:r w:rsidRPr="0026018B">
        <w:rPr>
          <w:rFonts w:cs="Arial"/>
          <w:color w:val="auto"/>
        </w:rPr>
        <w:t xml:space="preserve">Whilst the County Council has continued to pursue its proposal </w:t>
      </w:r>
      <w:r w:rsidR="00822ED3" w:rsidRPr="0026018B">
        <w:rPr>
          <w:rFonts w:cs="Arial"/>
          <w:color w:val="auto"/>
        </w:rPr>
        <w:t>for a single unitary c</w:t>
      </w:r>
      <w:r w:rsidRPr="0026018B">
        <w:rPr>
          <w:rFonts w:cs="Arial"/>
          <w:color w:val="auto"/>
        </w:rPr>
        <w:t xml:space="preserve">ouncil, the </w:t>
      </w:r>
      <w:r w:rsidR="006928CC" w:rsidRPr="0026018B">
        <w:rPr>
          <w:rFonts w:cs="Arial"/>
          <w:color w:val="auto"/>
        </w:rPr>
        <w:t>leaders of all the councils agreed to</w:t>
      </w:r>
      <w:r w:rsidR="006928CC" w:rsidRPr="00454E6D">
        <w:rPr>
          <w:rFonts w:cs="Arial"/>
          <w:color w:val="auto"/>
        </w:rPr>
        <w:t xml:space="preserve"> </w:t>
      </w:r>
      <w:r w:rsidR="006928CC" w:rsidRPr="0026018B">
        <w:rPr>
          <w:rFonts w:eastAsia="Calibri" w:cs="Arial"/>
          <w:lang w:eastAsia="en-US"/>
        </w:rPr>
        <w:t>explore how through collaborative working savings and improvements to services</w:t>
      </w:r>
      <w:r w:rsidR="00F74F34">
        <w:rPr>
          <w:rFonts w:eastAsia="Calibri" w:cs="Arial"/>
          <w:lang w:eastAsia="en-US"/>
        </w:rPr>
        <w:t xml:space="preserve"> can be delivered</w:t>
      </w:r>
      <w:r w:rsidR="006928CC" w:rsidRPr="0026018B">
        <w:rPr>
          <w:rFonts w:eastAsia="Calibri" w:cs="Arial"/>
          <w:lang w:eastAsia="en-US"/>
        </w:rPr>
        <w:t xml:space="preserve"> within existing local government structures</w:t>
      </w:r>
      <w:r w:rsidRPr="0026018B">
        <w:rPr>
          <w:rFonts w:eastAsia="Calibri" w:cs="Arial"/>
          <w:lang w:eastAsia="en-US"/>
        </w:rPr>
        <w:t xml:space="preserve">. This includes support from all leaders to develop </w:t>
      </w:r>
      <w:r w:rsidR="0019179B" w:rsidRPr="0026018B">
        <w:rPr>
          <w:rFonts w:eastAsia="Calibri" w:cs="Arial"/>
          <w:lang w:eastAsia="en-US"/>
        </w:rPr>
        <w:t xml:space="preserve">a revised devolution deal proposal </w:t>
      </w:r>
      <w:r w:rsidR="0026018B">
        <w:rPr>
          <w:rFonts w:eastAsia="Calibri" w:cs="Arial"/>
          <w:lang w:eastAsia="en-US"/>
        </w:rPr>
        <w:t xml:space="preserve">based on a combined authority and elected mayor </w:t>
      </w:r>
      <w:r w:rsidR="0019179B" w:rsidRPr="0026018B">
        <w:rPr>
          <w:rFonts w:eastAsia="Calibri" w:cs="Arial"/>
          <w:color w:val="auto"/>
          <w:lang w:eastAsia="en-US"/>
        </w:rPr>
        <w:t xml:space="preserve">with the aim of securing infrastructure </w:t>
      </w:r>
      <w:r w:rsidR="0019179B" w:rsidRPr="0026018B">
        <w:rPr>
          <w:rFonts w:eastAsia="Calibri" w:cs="Arial"/>
          <w:lang w:eastAsia="en-US"/>
        </w:rPr>
        <w:t>investment</w:t>
      </w:r>
      <w:r w:rsidR="0019179B" w:rsidRPr="0026018B">
        <w:rPr>
          <w:rFonts w:eastAsia="Calibri" w:cs="Arial"/>
          <w:color w:val="auto"/>
          <w:lang w:eastAsia="en-US"/>
        </w:rPr>
        <w:t xml:space="preserve"> for Oxfordshire.  </w:t>
      </w:r>
      <w:r w:rsidR="0019179B" w:rsidRPr="0026018B">
        <w:rPr>
          <w:rFonts w:eastAsia="Calibri" w:cs="Arial"/>
          <w:lang w:eastAsia="en-US"/>
        </w:rPr>
        <w:t xml:space="preserve"> </w:t>
      </w:r>
      <w:r w:rsidRPr="0026018B">
        <w:rPr>
          <w:rFonts w:cs="Arial"/>
          <w:color w:val="auto"/>
        </w:rPr>
        <w:t>This approach was endorsed by the Growth Board at its meetings in September and November (see appendix 1).</w:t>
      </w:r>
    </w:p>
    <w:p w:rsidR="00454E6D" w:rsidRPr="0026018B" w:rsidRDefault="00454E6D" w:rsidP="00540A8B">
      <w:pPr>
        <w:spacing w:after="0"/>
        <w:ind w:left="-360"/>
        <w:rPr>
          <w:rFonts w:cs="Arial"/>
          <w:color w:val="auto"/>
        </w:rPr>
      </w:pPr>
    </w:p>
    <w:p w:rsidR="002C39A4" w:rsidRPr="0026018B" w:rsidRDefault="00C973D0" w:rsidP="00540A8B">
      <w:pPr>
        <w:pStyle w:val="ReportPara"/>
        <w:numPr>
          <w:ilvl w:val="0"/>
          <w:numId w:val="37"/>
        </w:numPr>
        <w:spacing w:after="0"/>
        <w:ind w:left="360"/>
        <w:rPr>
          <w:rFonts w:ascii="Arial" w:hAnsi="Arial" w:cs="Arial"/>
          <w:spacing w:val="-2"/>
          <w:szCs w:val="24"/>
        </w:rPr>
      </w:pPr>
      <w:r w:rsidRPr="00A15F7B">
        <w:rPr>
          <w:rFonts w:ascii="Arial" w:hAnsi="Arial" w:cs="Arial"/>
          <w:spacing w:val="-2"/>
          <w:szCs w:val="24"/>
        </w:rPr>
        <w:t xml:space="preserve">As part of this work the LEP and </w:t>
      </w:r>
      <w:r w:rsidR="00792DD7" w:rsidRPr="0026018B">
        <w:rPr>
          <w:rFonts w:ascii="Arial" w:hAnsi="Arial" w:cs="Arial"/>
          <w:spacing w:val="-2"/>
          <w:szCs w:val="24"/>
        </w:rPr>
        <w:t>c</w:t>
      </w:r>
      <w:r w:rsidRPr="0026018B">
        <w:rPr>
          <w:rFonts w:ascii="Arial" w:hAnsi="Arial" w:cs="Arial"/>
          <w:spacing w:val="-2"/>
          <w:szCs w:val="24"/>
        </w:rPr>
        <w:t xml:space="preserve">ouncil </w:t>
      </w:r>
      <w:r w:rsidR="00792DD7" w:rsidRPr="0026018B">
        <w:rPr>
          <w:rFonts w:ascii="Arial" w:hAnsi="Arial" w:cs="Arial"/>
          <w:spacing w:val="-2"/>
          <w:szCs w:val="24"/>
        </w:rPr>
        <w:t>chief e</w:t>
      </w:r>
      <w:r w:rsidRPr="00A15F7B">
        <w:rPr>
          <w:rFonts w:ascii="Arial" w:hAnsi="Arial" w:cs="Arial"/>
          <w:spacing w:val="-2"/>
          <w:szCs w:val="24"/>
        </w:rPr>
        <w:t xml:space="preserve">xecutives </w:t>
      </w:r>
      <w:r w:rsidRPr="0026018B">
        <w:rPr>
          <w:rFonts w:ascii="Arial" w:hAnsi="Arial" w:cs="Arial"/>
          <w:spacing w:val="-2"/>
          <w:szCs w:val="24"/>
        </w:rPr>
        <w:t>have had further discussions with DCLG</w:t>
      </w:r>
      <w:r w:rsidRPr="00A15F7B">
        <w:rPr>
          <w:rFonts w:ascii="Arial" w:hAnsi="Arial" w:cs="Arial"/>
          <w:spacing w:val="-2"/>
          <w:szCs w:val="24"/>
        </w:rPr>
        <w:t xml:space="preserve"> officials</w:t>
      </w:r>
      <w:r w:rsidRPr="0026018B">
        <w:rPr>
          <w:rFonts w:ascii="Arial" w:hAnsi="Arial" w:cs="Arial"/>
          <w:spacing w:val="-2"/>
          <w:szCs w:val="24"/>
        </w:rPr>
        <w:t xml:space="preserve"> to seek clarity</w:t>
      </w:r>
      <w:r w:rsidRPr="00A15F7B">
        <w:rPr>
          <w:rFonts w:ascii="Arial" w:hAnsi="Arial" w:cs="Arial"/>
          <w:spacing w:val="-2"/>
          <w:szCs w:val="24"/>
        </w:rPr>
        <w:t xml:space="preserve"> about</w:t>
      </w:r>
      <w:r w:rsidR="00BD3773" w:rsidRPr="0026018B">
        <w:rPr>
          <w:rFonts w:ascii="Arial" w:hAnsi="Arial" w:cs="Arial"/>
          <w:spacing w:val="-2"/>
          <w:szCs w:val="24"/>
        </w:rPr>
        <w:t xml:space="preserve"> government’s policy direction on devolution and local government reorganisation.  </w:t>
      </w:r>
      <w:r w:rsidRPr="00A15F7B">
        <w:rPr>
          <w:rFonts w:ascii="Arial" w:hAnsi="Arial" w:cs="Arial"/>
          <w:spacing w:val="-2"/>
          <w:szCs w:val="24"/>
        </w:rPr>
        <w:t xml:space="preserve"> </w:t>
      </w:r>
    </w:p>
    <w:p w:rsidR="00BD3773" w:rsidRPr="0026018B" w:rsidRDefault="00BD3773" w:rsidP="00540A8B">
      <w:pPr>
        <w:pStyle w:val="ReportPara"/>
        <w:tabs>
          <w:tab w:val="clear" w:pos="792"/>
        </w:tabs>
        <w:spacing w:after="0"/>
        <w:ind w:left="-360" w:firstLine="0"/>
        <w:rPr>
          <w:rFonts w:ascii="Arial" w:hAnsi="Arial" w:cs="Arial"/>
          <w:spacing w:val="-2"/>
          <w:szCs w:val="24"/>
        </w:rPr>
      </w:pPr>
    </w:p>
    <w:p w:rsidR="00BD3773" w:rsidRPr="0026018B" w:rsidRDefault="00BD3773" w:rsidP="00540A8B">
      <w:pPr>
        <w:numPr>
          <w:ilvl w:val="0"/>
          <w:numId w:val="37"/>
        </w:numPr>
        <w:spacing w:after="0"/>
        <w:ind w:left="360"/>
        <w:rPr>
          <w:rFonts w:cs="Arial"/>
          <w:color w:val="auto"/>
          <w:spacing w:val="-2"/>
        </w:rPr>
      </w:pPr>
      <w:r w:rsidRPr="00A15F7B">
        <w:rPr>
          <w:rFonts w:cs="Arial"/>
          <w:color w:val="auto"/>
          <w:spacing w:val="-2"/>
        </w:rPr>
        <w:t xml:space="preserve">DCLG </w:t>
      </w:r>
      <w:r w:rsidRPr="0026018B">
        <w:rPr>
          <w:rFonts w:cs="Arial"/>
          <w:color w:val="auto"/>
          <w:spacing w:val="-2"/>
        </w:rPr>
        <w:t xml:space="preserve">officials </w:t>
      </w:r>
      <w:r w:rsidR="005C3262" w:rsidRPr="0026018B">
        <w:rPr>
          <w:rFonts w:cs="Arial"/>
          <w:color w:val="auto"/>
          <w:spacing w:val="-2"/>
        </w:rPr>
        <w:t>indicated</w:t>
      </w:r>
      <w:r w:rsidRPr="00A15F7B">
        <w:rPr>
          <w:rFonts w:cs="Arial"/>
          <w:color w:val="auto"/>
          <w:spacing w:val="-2"/>
        </w:rPr>
        <w:t xml:space="preserve"> that they will be producing </w:t>
      </w:r>
      <w:r w:rsidR="00792DD7" w:rsidRPr="0026018B">
        <w:rPr>
          <w:rFonts w:cs="Arial"/>
          <w:color w:val="auto"/>
          <w:spacing w:val="-2"/>
        </w:rPr>
        <w:t>guidance on</w:t>
      </w:r>
      <w:r w:rsidRPr="00A15F7B">
        <w:rPr>
          <w:rFonts w:cs="Arial"/>
          <w:color w:val="auto"/>
          <w:spacing w:val="-2"/>
        </w:rPr>
        <w:t xml:space="preserve"> the government’s policy on both these issues early in the new year and </w:t>
      </w:r>
      <w:r w:rsidRPr="0026018B">
        <w:rPr>
          <w:rFonts w:cs="Arial"/>
          <w:color w:val="auto"/>
          <w:spacing w:val="-2"/>
        </w:rPr>
        <w:t xml:space="preserve">advised that we should wait </w:t>
      </w:r>
      <w:r w:rsidRPr="00A15F7B">
        <w:rPr>
          <w:rFonts w:cs="Arial"/>
          <w:color w:val="auto"/>
          <w:spacing w:val="-2"/>
        </w:rPr>
        <w:t>until the advice is published</w:t>
      </w:r>
      <w:r w:rsidRPr="0026018B">
        <w:rPr>
          <w:rFonts w:cs="Arial"/>
          <w:color w:val="auto"/>
          <w:spacing w:val="-2"/>
        </w:rPr>
        <w:t xml:space="preserve"> before submitting proposals either for a devolution deal or a unitary bid</w:t>
      </w:r>
      <w:r w:rsidRPr="00A15F7B">
        <w:rPr>
          <w:rFonts w:cs="Arial"/>
          <w:color w:val="auto"/>
          <w:spacing w:val="-2"/>
        </w:rPr>
        <w:t>.</w:t>
      </w:r>
      <w:r w:rsidRPr="0026018B">
        <w:rPr>
          <w:rFonts w:cs="Arial"/>
          <w:color w:val="auto"/>
          <w:spacing w:val="-2"/>
        </w:rPr>
        <w:t xml:space="preserve">  They were clear</w:t>
      </w:r>
      <w:r w:rsidR="005C3262" w:rsidRPr="0026018B">
        <w:rPr>
          <w:rFonts w:cs="Arial"/>
          <w:color w:val="auto"/>
          <w:spacing w:val="-2"/>
        </w:rPr>
        <w:t xml:space="preserve"> however</w:t>
      </w:r>
      <w:r w:rsidRPr="0026018B">
        <w:rPr>
          <w:rFonts w:cs="Arial"/>
          <w:color w:val="auto"/>
          <w:spacing w:val="-2"/>
        </w:rPr>
        <w:t xml:space="preserve"> </w:t>
      </w:r>
      <w:proofErr w:type="gramStart"/>
      <w:r w:rsidR="00792DD7" w:rsidRPr="0026018B">
        <w:rPr>
          <w:rFonts w:cs="Arial"/>
          <w:color w:val="auto"/>
          <w:spacing w:val="-2"/>
        </w:rPr>
        <w:t>that  proposals</w:t>
      </w:r>
      <w:proofErr w:type="gramEnd"/>
      <w:r w:rsidRPr="0026018B">
        <w:rPr>
          <w:rFonts w:cs="Arial"/>
          <w:color w:val="auto"/>
          <w:spacing w:val="-2"/>
        </w:rPr>
        <w:t xml:space="preserve"> for unitary government would not be a requirement of devolution deals in two tier areas and that the two strands could be considered independently of each other. </w:t>
      </w:r>
    </w:p>
    <w:p w:rsidR="00822ED3" w:rsidRPr="00A15F7B" w:rsidRDefault="00822ED3" w:rsidP="00540A8B">
      <w:pPr>
        <w:numPr>
          <w:ilvl w:val="1"/>
          <w:numId w:val="0"/>
        </w:numPr>
        <w:tabs>
          <w:tab w:val="num" w:pos="567"/>
        </w:tabs>
        <w:spacing w:after="0"/>
        <w:ind w:left="-360" w:hanging="567"/>
        <w:rPr>
          <w:rFonts w:cs="Arial"/>
          <w:color w:val="auto"/>
          <w:spacing w:val="-2"/>
        </w:rPr>
      </w:pPr>
    </w:p>
    <w:p w:rsidR="00C973D0" w:rsidRPr="00A15F7B" w:rsidRDefault="00792DD7" w:rsidP="00540A8B">
      <w:pPr>
        <w:numPr>
          <w:ilvl w:val="0"/>
          <w:numId w:val="37"/>
        </w:numPr>
        <w:spacing w:after="0"/>
        <w:ind w:left="360"/>
        <w:rPr>
          <w:rFonts w:cs="Arial"/>
          <w:color w:val="auto"/>
          <w:spacing w:val="-2"/>
        </w:rPr>
      </w:pPr>
      <w:r w:rsidRPr="0026018B">
        <w:rPr>
          <w:rFonts w:cs="Arial"/>
          <w:color w:val="auto"/>
          <w:spacing w:val="-2"/>
        </w:rPr>
        <w:t>It was also clearly</w:t>
      </w:r>
      <w:r w:rsidR="00C973D0" w:rsidRPr="00A15F7B">
        <w:rPr>
          <w:rFonts w:cs="Arial"/>
          <w:color w:val="auto"/>
          <w:spacing w:val="-2"/>
        </w:rPr>
        <w:t xml:space="preserve"> </w:t>
      </w:r>
      <w:r w:rsidRPr="0026018B">
        <w:rPr>
          <w:rFonts w:cs="Arial"/>
          <w:color w:val="auto"/>
          <w:spacing w:val="-2"/>
        </w:rPr>
        <w:t>indicated</w:t>
      </w:r>
      <w:r w:rsidR="00C973D0" w:rsidRPr="00A15F7B">
        <w:rPr>
          <w:rFonts w:cs="Arial"/>
          <w:color w:val="auto"/>
          <w:spacing w:val="-2"/>
        </w:rPr>
        <w:t xml:space="preserve"> </w:t>
      </w:r>
      <w:r w:rsidRPr="0026018B">
        <w:rPr>
          <w:rFonts w:cs="Arial"/>
          <w:color w:val="auto"/>
          <w:spacing w:val="-2"/>
        </w:rPr>
        <w:t>that</w:t>
      </w:r>
      <w:r w:rsidR="00C973D0" w:rsidRPr="00A15F7B">
        <w:rPr>
          <w:rFonts w:cs="Arial"/>
          <w:color w:val="auto"/>
          <w:spacing w:val="-2"/>
        </w:rPr>
        <w:t xml:space="preserve"> a devolution deal of any substance would only be granted with a </w:t>
      </w:r>
      <w:r w:rsidR="007B522D" w:rsidRPr="0026018B">
        <w:rPr>
          <w:rFonts w:cs="Arial"/>
          <w:color w:val="auto"/>
          <w:spacing w:val="-2"/>
        </w:rPr>
        <w:t xml:space="preserve">combined authority and </w:t>
      </w:r>
      <w:r w:rsidR="00C973D0" w:rsidRPr="00A15F7B">
        <w:rPr>
          <w:rFonts w:cs="Arial"/>
          <w:color w:val="auto"/>
          <w:spacing w:val="-2"/>
        </w:rPr>
        <w:t>directly elected mayor</w:t>
      </w:r>
      <w:r w:rsidR="00C973D0" w:rsidRPr="0026018B">
        <w:rPr>
          <w:rFonts w:cs="Arial"/>
          <w:color w:val="auto"/>
          <w:spacing w:val="-2"/>
        </w:rPr>
        <w:t xml:space="preserve"> regardless of whether a unitary or two tier structure is proposed</w:t>
      </w:r>
      <w:r w:rsidRPr="0026018B">
        <w:rPr>
          <w:rFonts w:cs="Arial"/>
          <w:color w:val="auto"/>
          <w:spacing w:val="-2"/>
        </w:rPr>
        <w:t>. This builds</w:t>
      </w:r>
      <w:r w:rsidR="00C973D0" w:rsidRPr="00A15F7B">
        <w:rPr>
          <w:rFonts w:cs="Arial"/>
          <w:color w:val="auto"/>
          <w:spacing w:val="-2"/>
        </w:rPr>
        <w:t xml:space="preserve"> on very clear statements issued recently by the Chancellor and Secretary of State.</w:t>
      </w:r>
    </w:p>
    <w:p w:rsidR="00792DD7" w:rsidRPr="0026018B" w:rsidRDefault="00792DD7" w:rsidP="00540A8B">
      <w:pPr>
        <w:numPr>
          <w:ilvl w:val="1"/>
          <w:numId w:val="0"/>
        </w:numPr>
        <w:tabs>
          <w:tab w:val="num" w:pos="567"/>
        </w:tabs>
        <w:spacing w:after="0"/>
        <w:ind w:hanging="567"/>
        <w:rPr>
          <w:rFonts w:cs="Arial"/>
          <w:color w:val="auto"/>
          <w:spacing w:val="-2"/>
        </w:rPr>
      </w:pPr>
    </w:p>
    <w:p w:rsidR="00C973D0" w:rsidRPr="0026018B" w:rsidRDefault="00C973D0" w:rsidP="00540A8B">
      <w:pPr>
        <w:numPr>
          <w:ilvl w:val="0"/>
          <w:numId w:val="37"/>
        </w:numPr>
        <w:spacing w:after="0"/>
        <w:ind w:left="360"/>
        <w:rPr>
          <w:rFonts w:cs="Arial"/>
          <w:color w:val="auto"/>
          <w:spacing w:val="-2"/>
        </w:rPr>
      </w:pPr>
      <w:r w:rsidRPr="00A15F7B">
        <w:rPr>
          <w:rFonts w:cs="Arial"/>
          <w:color w:val="auto"/>
          <w:spacing w:val="-2"/>
        </w:rPr>
        <w:t>In addition to this</w:t>
      </w:r>
      <w:r w:rsidRPr="0026018B">
        <w:rPr>
          <w:rFonts w:cs="Arial"/>
          <w:color w:val="auto"/>
          <w:spacing w:val="-2"/>
        </w:rPr>
        <w:t xml:space="preserve"> </w:t>
      </w:r>
      <w:r w:rsidRPr="00A15F7B">
        <w:rPr>
          <w:rFonts w:cs="Arial"/>
          <w:color w:val="auto"/>
          <w:spacing w:val="-2"/>
        </w:rPr>
        <w:t>it was made clear that a pre-requisite of any deal would be a firm commitment from each Council</w:t>
      </w:r>
      <w:r w:rsidRPr="0026018B">
        <w:rPr>
          <w:rFonts w:cs="Arial"/>
          <w:color w:val="auto"/>
          <w:spacing w:val="-2"/>
        </w:rPr>
        <w:t xml:space="preserve"> and the LEP</w:t>
      </w:r>
      <w:r w:rsidRPr="00A15F7B">
        <w:rPr>
          <w:rFonts w:cs="Arial"/>
          <w:color w:val="auto"/>
          <w:spacing w:val="-2"/>
        </w:rPr>
        <w:t xml:space="preserve"> in support of the devolution governance principles. </w:t>
      </w:r>
    </w:p>
    <w:p w:rsidR="00792DD7" w:rsidRPr="0026018B" w:rsidRDefault="00792DD7" w:rsidP="00540A8B">
      <w:pPr>
        <w:numPr>
          <w:ilvl w:val="1"/>
          <w:numId w:val="0"/>
        </w:numPr>
        <w:tabs>
          <w:tab w:val="num" w:pos="567"/>
        </w:tabs>
        <w:spacing w:after="0"/>
        <w:ind w:left="-360" w:hanging="567"/>
        <w:rPr>
          <w:rFonts w:cs="Arial"/>
          <w:color w:val="auto"/>
          <w:spacing w:val="-2"/>
        </w:rPr>
      </w:pPr>
    </w:p>
    <w:p w:rsidR="007B522D" w:rsidRPr="0026018B" w:rsidRDefault="007B522D" w:rsidP="00540A8B">
      <w:pPr>
        <w:numPr>
          <w:ilvl w:val="0"/>
          <w:numId w:val="37"/>
        </w:numPr>
        <w:spacing w:after="0"/>
        <w:ind w:left="360"/>
        <w:rPr>
          <w:rFonts w:eastAsia="Calibri" w:cs="Arial"/>
          <w:color w:val="auto"/>
          <w:lang w:eastAsia="en-US"/>
        </w:rPr>
      </w:pPr>
      <w:r w:rsidRPr="0026018B">
        <w:rPr>
          <w:rFonts w:cs="Arial"/>
          <w:color w:val="auto"/>
          <w:spacing w:val="-2"/>
        </w:rPr>
        <w:lastRenderedPageBreak/>
        <w:t xml:space="preserve">Following this feedback, the LEP </w:t>
      </w:r>
      <w:r w:rsidR="00B66B7A" w:rsidRPr="0026018B">
        <w:rPr>
          <w:rFonts w:cs="Arial"/>
          <w:color w:val="auto"/>
          <w:spacing w:val="-2"/>
        </w:rPr>
        <w:t>Board confirmed</w:t>
      </w:r>
      <w:r w:rsidRPr="0026018B">
        <w:rPr>
          <w:rFonts w:cs="Arial"/>
          <w:color w:val="auto"/>
          <w:spacing w:val="-2"/>
        </w:rPr>
        <w:t xml:space="preserve"> at its meeting on the 6</w:t>
      </w:r>
      <w:r w:rsidRPr="0026018B">
        <w:rPr>
          <w:rFonts w:cs="Arial"/>
          <w:color w:val="auto"/>
          <w:spacing w:val="-2"/>
          <w:vertAlign w:val="superscript"/>
        </w:rPr>
        <w:t>th</w:t>
      </w:r>
      <w:r w:rsidRPr="0026018B">
        <w:rPr>
          <w:rFonts w:cs="Arial"/>
          <w:color w:val="auto"/>
          <w:spacing w:val="-2"/>
        </w:rPr>
        <w:t xml:space="preserve"> December</w:t>
      </w:r>
      <w:r w:rsidR="00B66B7A" w:rsidRPr="0026018B">
        <w:rPr>
          <w:rFonts w:cs="Arial"/>
          <w:color w:val="auto"/>
          <w:spacing w:val="-2"/>
        </w:rPr>
        <w:t xml:space="preserve"> that it wished to prioritise securing a devolution deal with government at the earliest opportunity</w:t>
      </w:r>
      <w:r w:rsidR="00792DD7" w:rsidRPr="0026018B">
        <w:rPr>
          <w:rFonts w:cs="Arial"/>
          <w:color w:val="auto"/>
          <w:spacing w:val="-2"/>
        </w:rPr>
        <w:t>.  It</w:t>
      </w:r>
      <w:r w:rsidR="00B66B7A" w:rsidRPr="0026018B">
        <w:rPr>
          <w:rFonts w:cs="Arial"/>
          <w:color w:val="auto"/>
          <w:spacing w:val="-2"/>
        </w:rPr>
        <w:t xml:space="preserve"> confirmed</w:t>
      </w:r>
      <w:r w:rsidRPr="0026018B">
        <w:rPr>
          <w:rFonts w:cs="Arial"/>
          <w:color w:val="auto"/>
          <w:spacing w:val="-2"/>
        </w:rPr>
        <w:t xml:space="preserve"> </w:t>
      </w:r>
      <w:r w:rsidR="00792DD7" w:rsidRPr="0026018B">
        <w:rPr>
          <w:rFonts w:cs="Arial"/>
          <w:color w:val="auto"/>
          <w:spacing w:val="-2"/>
        </w:rPr>
        <w:t>LEP</w:t>
      </w:r>
      <w:r w:rsidRPr="0026018B">
        <w:rPr>
          <w:rFonts w:cs="Arial"/>
          <w:color w:val="auto"/>
          <w:spacing w:val="-2"/>
        </w:rPr>
        <w:t xml:space="preserve"> support for </w:t>
      </w:r>
      <w:r w:rsidRPr="0026018B">
        <w:rPr>
          <w:rFonts w:eastAsia="Calibri" w:cs="Arial"/>
          <w:color w:val="auto"/>
          <w:lang w:eastAsia="en-US"/>
        </w:rPr>
        <w:t xml:space="preserve">a revised submission to government for a devolution deal based on </w:t>
      </w:r>
      <w:r w:rsidR="00540A8B">
        <w:rPr>
          <w:rFonts w:eastAsia="Calibri" w:cs="Arial"/>
          <w:color w:val="auto"/>
          <w:lang w:eastAsia="en-US"/>
        </w:rPr>
        <w:t>combined authority and elected m</w:t>
      </w:r>
      <w:r w:rsidRPr="0026018B">
        <w:rPr>
          <w:rFonts w:eastAsia="Calibri" w:cs="Arial"/>
          <w:color w:val="auto"/>
          <w:lang w:eastAsia="en-US"/>
        </w:rPr>
        <w:t xml:space="preserve">ayor model and the current </w:t>
      </w:r>
      <w:r w:rsidR="0026018B">
        <w:rPr>
          <w:rFonts w:eastAsia="Calibri" w:cs="Arial"/>
          <w:color w:val="auto"/>
          <w:lang w:eastAsia="en-US"/>
        </w:rPr>
        <w:t>county, city and district councils</w:t>
      </w:r>
      <w:r w:rsidRPr="0026018B">
        <w:rPr>
          <w:rFonts w:eastAsia="Calibri" w:cs="Arial"/>
          <w:color w:val="auto"/>
          <w:lang w:eastAsia="en-US"/>
        </w:rPr>
        <w:t xml:space="preserve">.  </w:t>
      </w:r>
      <w:r w:rsidR="00792DD7" w:rsidRPr="0026018B">
        <w:rPr>
          <w:rFonts w:eastAsia="Calibri" w:cs="Arial"/>
          <w:color w:val="auto"/>
          <w:lang w:eastAsia="en-US"/>
        </w:rPr>
        <w:t>The l</w:t>
      </w:r>
      <w:r w:rsidRPr="0026018B">
        <w:rPr>
          <w:rFonts w:eastAsia="Calibri" w:cs="Arial"/>
          <w:color w:val="auto"/>
          <w:lang w:eastAsia="en-US"/>
        </w:rPr>
        <w:t xml:space="preserve">eaders </w:t>
      </w:r>
      <w:r w:rsidR="00B66B7A" w:rsidRPr="0026018B">
        <w:rPr>
          <w:rFonts w:eastAsia="Calibri" w:cs="Arial"/>
          <w:color w:val="auto"/>
          <w:lang w:eastAsia="en-US"/>
        </w:rPr>
        <w:t>of</w:t>
      </w:r>
      <w:r w:rsidRPr="0026018B">
        <w:rPr>
          <w:rFonts w:eastAsia="Calibri" w:cs="Arial"/>
          <w:color w:val="auto"/>
          <w:lang w:eastAsia="en-US"/>
        </w:rPr>
        <w:t xml:space="preserve"> the </w:t>
      </w:r>
      <w:r w:rsidR="00367554" w:rsidRPr="0026018B">
        <w:rPr>
          <w:rFonts w:eastAsia="Calibri" w:cs="Arial"/>
          <w:color w:val="auto"/>
          <w:lang w:eastAsia="en-US"/>
        </w:rPr>
        <w:t xml:space="preserve">county, </w:t>
      </w:r>
      <w:r w:rsidRPr="0026018B">
        <w:rPr>
          <w:rFonts w:eastAsia="Calibri" w:cs="Arial"/>
          <w:color w:val="auto"/>
          <w:lang w:eastAsia="en-US"/>
        </w:rPr>
        <w:t xml:space="preserve">district and city councils </w:t>
      </w:r>
      <w:r w:rsidR="00367554" w:rsidRPr="0026018B">
        <w:rPr>
          <w:rFonts w:eastAsia="Calibri" w:cs="Arial"/>
          <w:color w:val="auto"/>
          <w:lang w:eastAsia="en-US"/>
        </w:rPr>
        <w:t>were asked</w:t>
      </w:r>
      <w:r w:rsidRPr="0026018B">
        <w:rPr>
          <w:rFonts w:eastAsia="Calibri" w:cs="Arial"/>
          <w:color w:val="auto"/>
          <w:lang w:eastAsia="en-US"/>
        </w:rPr>
        <w:t xml:space="preserve"> to seek </w:t>
      </w:r>
      <w:r w:rsidR="00B66B7A" w:rsidRPr="0026018B">
        <w:rPr>
          <w:rFonts w:eastAsia="Calibri" w:cs="Arial"/>
          <w:color w:val="auto"/>
          <w:lang w:eastAsia="en-US"/>
        </w:rPr>
        <w:t>a commitment</w:t>
      </w:r>
      <w:r w:rsidRPr="0026018B">
        <w:rPr>
          <w:rFonts w:eastAsia="Calibri" w:cs="Arial"/>
          <w:color w:val="auto"/>
          <w:lang w:eastAsia="en-US"/>
        </w:rPr>
        <w:t xml:space="preserve"> from </w:t>
      </w:r>
      <w:r w:rsidR="00B66B7A" w:rsidRPr="0026018B">
        <w:rPr>
          <w:rFonts w:eastAsia="Calibri" w:cs="Arial"/>
          <w:color w:val="auto"/>
          <w:lang w:eastAsia="en-US"/>
        </w:rPr>
        <w:t>each</w:t>
      </w:r>
      <w:r w:rsidRPr="0026018B">
        <w:rPr>
          <w:rFonts w:eastAsia="Calibri" w:cs="Arial"/>
          <w:color w:val="auto"/>
          <w:lang w:eastAsia="en-US"/>
        </w:rPr>
        <w:t xml:space="preserve"> </w:t>
      </w:r>
      <w:r w:rsidR="0026018B">
        <w:rPr>
          <w:rFonts w:eastAsia="Calibri" w:cs="Arial"/>
          <w:color w:val="auto"/>
          <w:lang w:eastAsia="en-US"/>
        </w:rPr>
        <w:t xml:space="preserve">of the </w:t>
      </w:r>
      <w:r w:rsidRPr="0026018B">
        <w:rPr>
          <w:rFonts w:eastAsia="Calibri" w:cs="Arial"/>
          <w:color w:val="auto"/>
          <w:lang w:eastAsia="en-US"/>
        </w:rPr>
        <w:t>councils to support this approach</w:t>
      </w:r>
      <w:r w:rsidR="00822ED3" w:rsidRPr="0026018B">
        <w:rPr>
          <w:rFonts w:eastAsia="Calibri" w:cs="Arial"/>
          <w:color w:val="auto"/>
          <w:lang w:eastAsia="en-US"/>
        </w:rPr>
        <w:t xml:space="preserve"> </w:t>
      </w:r>
      <w:r w:rsidR="0026018B">
        <w:rPr>
          <w:rFonts w:eastAsia="Calibri" w:cs="Arial"/>
          <w:color w:val="auto"/>
          <w:lang w:eastAsia="en-US"/>
        </w:rPr>
        <w:t>and</w:t>
      </w:r>
      <w:r w:rsidR="00822ED3" w:rsidRPr="0026018B">
        <w:rPr>
          <w:rFonts w:eastAsia="Calibri" w:cs="Arial"/>
          <w:color w:val="auto"/>
          <w:lang w:eastAsia="en-US"/>
        </w:rPr>
        <w:t xml:space="preserve"> enable </w:t>
      </w:r>
      <w:r w:rsidR="00792DD7" w:rsidRPr="0026018B">
        <w:rPr>
          <w:rFonts w:eastAsia="Calibri" w:cs="Arial"/>
          <w:color w:val="auto"/>
          <w:lang w:eastAsia="en-US"/>
        </w:rPr>
        <w:t>rapid and collective</w:t>
      </w:r>
      <w:r w:rsidR="00822ED3" w:rsidRPr="0026018B">
        <w:rPr>
          <w:rFonts w:eastAsia="Calibri" w:cs="Arial"/>
          <w:color w:val="auto"/>
          <w:lang w:eastAsia="en-US"/>
        </w:rPr>
        <w:t xml:space="preserve"> progress </w:t>
      </w:r>
      <w:r w:rsidR="0026018B">
        <w:rPr>
          <w:rFonts w:eastAsia="Calibri" w:cs="Arial"/>
          <w:color w:val="auto"/>
          <w:lang w:eastAsia="en-US"/>
        </w:rPr>
        <w:t xml:space="preserve">on </w:t>
      </w:r>
      <w:r w:rsidR="00822ED3" w:rsidRPr="0026018B">
        <w:rPr>
          <w:rFonts w:eastAsia="Calibri" w:cs="Arial"/>
          <w:color w:val="auto"/>
          <w:lang w:eastAsia="en-US"/>
        </w:rPr>
        <w:t>a serious proposal to government</w:t>
      </w:r>
      <w:r w:rsidRPr="0026018B">
        <w:rPr>
          <w:rFonts w:eastAsia="Calibri" w:cs="Arial"/>
          <w:color w:val="auto"/>
          <w:lang w:eastAsia="en-US"/>
        </w:rPr>
        <w:t>.</w:t>
      </w:r>
    </w:p>
    <w:p w:rsidR="007B522D" w:rsidRPr="0026018B" w:rsidRDefault="007B522D" w:rsidP="00540A8B">
      <w:pPr>
        <w:numPr>
          <w:ilvl w:val="1"/>
          <w:numId w:val="0"/>
        </w:numPr>
        <w:tabs>
          <w:tab w:val="num" w:pos="567"/>
        </w:tabs>
        <w:spacing w:after="0"/>
        <w:ind w:left="-360" w:hanging="567"/>
        <w:rPr>
          <w:rFonts w:cs="Arial"/>
          <w:color w:val="auto"/>
          <w:spacing w:val="-2"/>
        </w:rPr>
      </w:pPr>
    </w:p>
    <w:p w:rsidR="007B522D" w:rsidRPr="00540A8B" w:rsidRDefault="00BE791C" w:rsidP="00540A8B">
      <w:pPr>
        <w:numPr>
          <w:ilvl w:val="0"/>
          <w:numId w:val="37"/>
        </w:numPr>
        <w:spacing w:after="0"/>
        <w:ind w:left="360"/>
        <w:rPr>
          <w:rFonts w:cs="Arial"/>
        </w:rPr>
      </w:pPr>
      <w:r w:rsidRPr="0026018B">
        <w:rPr>
          <w:rFonts w:cs="Arial"/>
        </w:rPr>
        <w:t>CEB will be mindful that t</w:t>
      </w:r>
      <w:r w:rsidR="00367554" w:rsidRPr="0026018B">
        <w:rPr>
          <w:rFonts w:cs="Arial"/>
        </w:rPr>
        <w:t>he</w:t>
      </w:r>
      <w:r w:rsidRPr="0026018B">
        <w:rPr>
          <w:rFonts w:cs="Arial"/>
        </w:rPr>
        <w:t xml:space="preserve"> City’s</w:t>
      </w:r>
      <w:r w:rsidR="00367554" w:rsidRPr="0026018B">
        <w:rPr>
          <w:rFonts w:cs="Arial"/>
        </w:rPr>
        <w:t xml:space="preserve"> Scrutiny Committee </w:t>
      </w:r>
      <w:r w:rsidRPr="0026018B">
        <w:rPr>
          <w:rFonts w:cs="Arial"/>
        </w:rPr>
        <w:t>commissione</w:t>
      </w:r>
      <w:r w:rsidR="00367554" w:rsidRPr="0026018B">
        <w:rPr>
          <w:rFonts w:cs="Arial"/>
        </w:rPr>
        <w:t xml:space="preserve">d </w:t>
      </w:r>
      <w:r w:rsidRPr="0026018B">
        <w:rPr>
          <w:rFonts w:cs="Arial"/>
        </w:rPr>
        <w:t>a</w:t>
      </w:r>
      <w:r w:rsidR="00367554" w:rsidRPr="0026018B">
        <w:rPr>
          <w:rFonts w:cs="Arial"/>
        </w:rPr>
        <w:t xml:space="preserve"> Devolution Review Group in </w:t>
      </w:r>
      <w:r w:rsidRPr="0026018B">
        <w:rPr>
          <w:rFonts w:cs="Arial"/>
        </w:rPr>
        <w:t xml:space="preserve">September </w:t>
      </w:r>
      <w:r w:rsidR="00367554" w:rsidRPr="0026018B">
        <w:rPr>
          <w:rFonts w:cs="Arial"/>
        </w:rPr>
        <w:t xml:space="preserve">2016 </w:t>
      </w:r>
      <w:r w:rsidRPr="0026018B">
        <w:rPr>
          <w:rFonts w:cs="Arial"/>
        </w:rPr>
        <w:t>to examine the way forward on devolution</w:t>
      </w:r>
      <w:r w:rsidR="00367554" w:rsidRPr="0026018B">
        <w:rPr>
          <w:rFonts w:cs="Arial"/>
        </w:rPr>
        <w:t xml:space="preserve"> in Oxfordshire.  The Review Group has now completed its work and is due to report back to Scrutiny Committee in January.  Though the report is still being finalised, the indications are that </w:t>
      </w:r>
      <w:r w:rsidRPr="0026018B">
        <w:rPr>
          <w:rFonts w:cs="Arial"/>
        </w:rPr>
        <w:t xml:space="preserve">it will conclude that a securing a devolution deal with government is critical to addressing the underlying challenges that are increasingly holding </w:t>
      </w:r>
      <w:r w:rsidR="00822ED3" w:rsidRPr="0026018B">
        <w:rPr>
          <w:rFonts w:cs="Arial"/>
        </w:rPr>
        <w:t>Oxfordshire</w:t>
      </w:r>
      <w:r w:rsidRPr="0026018B">
        <w:rPr>
          <w:rFonts w:cs="Arial"/>
        </w:rPr>
        <w:t xml:space="preserve"> back from achieving its full growth potential</w:t>
      </w:r>
      <w:r w:rsidR="00B66B7A" w:rsidRPr="0026018B">
        <w:rPr>
          <w:rFonts w:cs="Arial"/>
        </w:rPr>
        <w:t xml:space="preserve"> and that securing a devolution deal with government should therefore be a priority for the City Council</w:t>
      </w:r>
      <w:r w:rsidRPr="0026018B">
        <w:rPr>
          <w:rFonts w:cs="Arial"/>
        </w:rPr>
        <w:t xml:space="preserve">. </w:t>
      </w:r>
      <w:r w:rsidR="00B66B7A" w:rsidRPr="00540A8B">
        <w:rPr>
          <w:rFonts w:cs="Arial"/>
        </w:rPr>
        <w:t xml:space="preserve">Indications are that its </w:t>
      </w:r>
      <w:r w:rsidRPr="00540A8B">
        <w:rPr>
          <w:rFonts w:cs="Arial"/>
        </w:rPr>
        <w:t>recommend</w:t>
      </w:r>
      <w:r w:rsidR="00B66B7A" w:rsidRPr="00540A8B">
        <w:rPr>
          <w:rFonts w:cs="Arial"/>
        </w:rPr>
        <w:t xml:space="preserve">ations will endorse </w:t>
      </w:r>
      <w:r w:rsidR="00540A8B" w:rsidRPr="00540A8B">
        <w:rPr>
          <w:rFonts w:cs="Arial"/>
        </w:rPr>
        <w:t xml:space="preserve">developing </w:t>
      </w:r>
      <w:r w:rsidR="00B66B7A" w:rsidRPr="00540A8B">
        <w:rPr>
          <w:rFonts w:cs="Arial"/>
        </w:rPr>
        <w:t xml:space="preserve">a governance model </w:t>
      </w:r>
      <w:r w:rsidR="00540A8B" w:rsidRPr="00540A8B">
        <w:rPr>
          <w:rFonts w:cs="Arial"/>
        </w:rPr>
        <w:t xml:space="preserve">based </w:t>
      </w:r>
      <w:r w:rsidR="00B66B7A" w:rsidRPr="00540A8B">
        <w:rPr>
          <w:rFonts w:cs="Arial"/>
        </w:rPr>
        <w:t xml:space="preserve">on existing councils, a combined authority and directly elected mayor. </w:t>
      </w:r>
      <w:r w:rsidRPr="00540A8B">
        <w:rPr>
          <w:rFonts w:cs="Arial"/>
        </w:rPr>
        <w:t xml:space="preserve"> </w:t>
      </w:r>
    </w:p>
    <w:p w:rsidR="00792DD7" w:rsidRPr="0026018B" w:rsidRDefault="00792DD7" w:rsidP="00540A8B">
      <w:pPr>
        <w:numPr>
          <w:ilvl w:val="1"/>
          <w:numId w:val="0"/>
        </w:numPr>
        <w:tabs>
          <w:tab w:val="num" w:pos="567"/>
        </w:tabs>
        <w:spacing w:after="0"/>
        <w:ind w:hanging="567"/>
        <w:rPr>
          <w:rFonts w:cs="Arial"/>
          <w:color w:val="auto"/>
          <w:spacing w:val="-2"/>
        </w:rPr>
      </w:pPr>
    </w:p>
    <w:p w:rsidR="00C973D0" w:rsidRPr="0026018B" w:rsidRDefault="00B66B7A" w:rsidP="00540A8B">
      <w:pPr>
        <w:numPr>
          <w:ilvl w:val="0"/>
          <w:numId w:val="37"/>
        </w:numPr>
        <w:spacing w:after="0"/>
        <w:ind w:left="360"/>
        <w:rPr>
          <w:rFonts w:cs="Arial"/>
          <w:color w:val="auto"/>
          <w:spacing w:val="-2"/>
        </w:rPr>
      </w:pPr>
      <w:r w:rsidRPr="0026018B">
        <w:rPr>
          <w:rFonts w:cs="Arial"/>
          <w:color w:val="auto"/>
          <w:spacing w:val="-2"/>
        </w:rPr>
        <w:t>CEB is therefore</w:t>
      </w:r>
      <w:r w:rsidR="00C973D0" w:rsidRPr="00A15F7B">
        <w:rPr>
          <w:rFonts w:cs="Arial"/>
          <w:color w:val="auto"/>
          <w:spacing w:val="-2"/>
        </w:rPr>
        <w:t xml:space="preserve"> asked to consider making a recommendation to Council </w:t>
      </w:r>
      <w:r w:rsidR="00C973D0" w:rsidRPr="0026018B">
        <w:rPr>
          <w:rFonts w:cs="Arial"/>
          <w:color w:val="auto"/>
          <w:spacing w:val="-2"/>
        </w:rPr>
        <w:t xml:space="preserve">to </w:t>
      </w:r>
      <w:r w:rsidR="00745A7D">
        <w:rPr>
          <w:rFonts w:cs="Arial"/>
          <w:color w:val="auto"/>
          <w:spacing w:val="-2"/>
        </w:rPr>
        <w:t>approve the City councils’ inclusion in the</w:t>
      </w:r>
      <w:r w:rsidR="00C973D0" w:rsidRPr="0026018B">
        <w:rPr>
          <w:rFonts w:cs="Arial"/>
          <w:color w:val="auto"/>
          <w:spacing w:val="-2"/>
        </w:rPr>
        <w:t xml:space="preserve"> submission</w:t>
      </w:r>
      <w:r w:rsidR="00C973D0" w:rsidRPr="00A15F7B">
        <w:rPr>
          <w:rFonts w:cs="Arial"/>
          <w:color w:val="auto"/>
          <w:spacing w:val="-2"/>
        </w:rPr>
        <w:t xml:space="preserve"> of a devolution bid </w:t>
      </w:r>
      <w:r w:rsidR="00BC2822" w:rsidRPr="0026018B">
        <w:rPr>
          <w:rFonts w:cs="Arial"/>
          <w:color w:val="auto"/>
          <w:spacing w:val="-2"/>
        </w:rPr>
        <w:t>with</w:t>
      </w:r>
      <w:r w:rsidR="00C973D0" w:rsidRPr="0026018B">
        <w:rPr>
          <w:rFonts w:cs="Arial"/>
          <w:color w:val="auto"/>
          <w:spacing w:val="-2"/>
        </w:rPr>
        <w:t xml:space="preserve"> a governance model</w:t>
      </w:r>
      <w:r w:rsidR="00C973D0" w:rsidRPr="00A15F7B">
        <w:rPr>
          <w:rFonts w:cs="Arial"/>
          <w:color w:val="auto"/>
          <w:spacing w:val="-2"/>
        </w:rPr>
        <w:t xml:space="preserve"> </w:t>
      </w:r>
      <w:r w:rsidR="00BC2822" w:rsidRPr="0026018B">
        <w:rPr>
          <w:rFonts w:cs="Arial"/>
          <w:color w:val="auto"/>
          <w:spacing w:val="-2"/>
        </w:rPr>
        <w:t xml:space="preserve">based on </w:t>
      </w:r>
      <w:r w:rsidR="00C973D0" w:rsidRPr="0026018B">
        <w:rPr>
          <w:rFonts w:cs="Arial"/>
          <w:color w:val="auto"/>
          <w:spacing w:val="-2"/>
        </w:rPr>
        <w:t xml:space="preserve">the current two-tier structure for local </w:t>
      </w:r>
      <w:r w:rsidR="00F74F34" w:rsidRPr="0026018B">
        <w:rPr>
          <w:rFonts w:cs="Arial"/>
          <w:color w:val="auto"/>
          <w:spacing w:val="-2"/>
        </w:rPr>
        <w:t>government with</w:t>
      </w:r>
      <w:r w:rsidR="00BC2822" w:rsidRPr="0026018B">
        <w:rPr>
          <w:rFonts w:cs="Arial"/>
          <w:color w:val="auto"/>
          <w:spacing w:val="-2"/>
        </w:rPr>
        <w:t xml:space="preserve"> a </w:t>
      </w:r>
      <w:r w:rsidR="00BC2822" w:rsidRPr="00A15F7B">
        <w:rPr>
          <w:rFonts w:cs="Arial"/>
          <w:color w:val="auto"/>
          <w:spacing w:val="-2"/>
        </w:rPr>
        <w:t>comb</w:t>
      </w:r>
      <w:r w:rsidR="00BC2822" w:rsidRPr="0026018B">
        <w:rPr>
          <w:rFonts w:cs="Arial"/>
          <w:color w:val="auto"/>
          <w:spacing w:val="-2"/>
        </w:rPr>
        <w:t>ined authority and elected mayor.</w:t>
      </w:r>
    </w:p>
    <w:p w:rsidR="00792DD7" w:rsidRPr="0026018B" w:rsidRDefault="00792DD7" w:rsidP="00540A8B">
      <w:pPr>
        <w:numPr>
          <w:ilvl w:val="1"/>
          <w:numId w:val="0"/>
        </w:numPr>
        <w:tabs>
          <w:tab w:val="num" w:pos="567"/>
        </w:tabs>
        <w:spacing w:after="0"/>
        <w:ind w:left="-360" w:hanging="567"/>
        <w:rPr>
          <w:rFonts w:cs="Arial"/>
          <w:color w:val="auto"/>
          <w:spacing w:val="-2"/>
        </w:rPr>
      </w:pPr>
    </w:p>
    <w:p w:rsidR="00C973D0" w:rsidRDefault="0026018B" w:rsidP="00540A8B">
      <w:pPr>
        <w:numPr>
          <w:ilvl w:val="0"/>
          <w:numId w:val="37"/>
        </w:numPr>
        <w:spacing w:after="0"/>
        <w:ind w:left="360"/>
        <w:rPr>
          <w:rFonts w:cs="Arial"/>
          <w:color w:val="auto"/>
          <w:spacing w:val="-2"/>
        </w:rPr>
      </w:pPr>
      <w:r>
        <w:rPr>
          <w:rFonts w:cs="Arial"/>
          <w:color w:val="auto"/>
          <w:spacing w:val="-2"/>
        </w:rPr>
        <w:t>T</w:t>
      </w:r>
      <w:r w:rsidR="00C973D0" w:rsidRPr="00A15F7B">
        <w:rPr>
          <w:rFonts w:cs="Arial"/>
          <w:color w:val="auto"/>
          <w:spacing w:val="-2"/>
        </w:rPr>
        <w:t xml:space="preserve">he details of the powers </w:t>
      </w:r>
      <w:r w:rsidR="00C973D0" w:rsidRPr="0026018B">
        <w:rPr>
          <w:rFonts w:cs="Arial"/>
          <w:color w:val="auto"/>
          <w:spacing w:val="-2"/>
        </w:rPr>
        <w:t>and functions of</w:t>
      </w:r>
      <w:r w:rsidR="00BC2822" w:rsidRPr="0026018B">
        <w:rPr>
          <w:rFonts w:cs="Arial"/>
          <w:color w:val="auto"/>
          <w:spacing w:val="-2"/>
        </w:rPr>
        <w:t xml:space="preserve"> the combined a</w:t>
      </w:r>
      <w:r w:rsidR="00C973D0" w:rsidRPr="00A15F7B">
        <w:rPr>
          <w:rFonts w:cs="Arial"/>
          <w:color w:val="auto"/>
          <w:spacing w:val="-2"/>
        </w:rPr>
        <w:t xml:space="preserve">uthority </w:t>
      </w:r>
      <w:r w:rsidR="00BC2822" w:rsidRPr="0026018B">
        <w:rPr>
          <w:rFonts w:cs="Arial"/>
          <w:color w:val="auto"/>
          <w:spacing w:val="-2"/>
        </w:rPr>
        <w:t>and m</w:t>
      </w:r>
      <w:r w:rsidR="00C973D0" w:rsidRPr="0026018B">
        <w:rPr>
          <w:rFonts w:cs="Arial"/>
          <w:color w:val="auto"/>
          <w:spacing w:val="-2"/>
        </w:rPr>
        <w:t>ayor need to be considered</w:t>
      </w:r>
      <w:r w:rsidR="00C973D0" w:rsidRPr="00A15F7B">
        <w:rPr>
          <w:rFonts w:cs="Arial"/>
          <w:color w:val="auto"/>
          <w:spacing w:val="-2"/>
        </w:rPr>
        <w:t xml:space="preserve"> in detail</w:t>
      </w:r>
      <w:r w:rsidR="00C973D0" w:rsidRPr="0026018B">
        <w:rPr>
          <w:rFonts w:cs="Arial"/>
          <w:color w:val="auto"/>
          <w:spacing w:val="-2"/>
        </w:rPr>
        <w:t xml:space="preserve"> before a</w:t>
      </w:r>
      <w:r w:rsidR="00BC2822" w:rsidRPr="0026018B">
        <w:rPr>
          <w:rFonts w:cs="Arial"/>
          <w:color w:val="auto"/>
          <w:spacing w:val="-2"/>
        </w:rPr>
        <w:t xml:space="preserve"> final</w:t>
      </w:r>
      <w:r w:rsidR="00C973D0" w:rsidRPr="0026018B">
        <w:rPr>
          <w:rFonts w:cs="Arial"/>
          <w:color w:val="auto"/>
          <w:spacing w:val="-2"/>
        </w:rPr>
        <w:t xml:space="preserve"> proposal could be agreed. Based on the experience of those areas who have successfully secured a devolution deal and from the work carried out on the previous devolution submission for Oxfordshire, the</w:t>
      </w:r>
      <w:r w:rsidR="00C973D0" w:rsidRPr="00A15F7B">
        <w:rPr>
          <w:rFonts w:cs="Arial"/>
          <w:color w:val="auto"/>
          <w:spacing w:val="-2"/>
        </w:rPr>
        <w:t xml:space="preserve"> strategic functions</w:t>
      </w:r>
      <w:r w:rsidR="00C973D0" w:rsidRPr="0026018B">
        <w:rPr>
          <w:rFonts w:cs="Arial"/>
          <w:color w:val="auto"/>
          <w:spacing w:val="-2"/>
        </w:rPr>
        <w:t xml:space="preserve"> of the combined authority which being explored by the officer working group are:</w:t>
      </w:r>
    </w:p>
    <w:p w:rsidR="0026018B" w:rsidRPr="0026018B" w:rsidRDefault="0026018B" w:rsidP="00540A8B">
      <w:pPr>
        <w:numPr>
          <w:ilvl w:val="1"/>
          <w:numId w:val="0"/>
        </w:numPr>
        <w:tabs>
          <w:tab w:val="num" w:pos="567"/>
        </w:tabs>
        <w:spacing w:after="0"/>
        <w:ind w:left="-360" w:hanging="567"/>
        <w:rPr>
          <w:rFonts w:cs="Arial"/>
          <w:color w:val="auto"/>
          <w:spacing w:val="-2"/>
        </w:rPr>
      </w:pPr>
    </w:p>
    <w:p w:rsidR="00C973D0" w:rsidRPr="00A15F7B" w:rsidRDefault="00C973D0" w:rsidP="00540A8B">
      <w:pPr>
        <w:numPr>
          <w:ilvl w:val="0"/>
          <w:numId w:val="34"/>
        </w:numPr>
        <w:spacing w:after="0"/>
        <w:rPr>
          <w:rFonts w:cs="Arial"/>
          <w:color w:val="auto"/>
          <w:spacing w:val="-2"/>
        </w:rPr>
      </w:pPr>
      <w:r w:rsidRPr="00A15F7B">
        <w:rPr>
          <w:rFonts w:cs="Arial"/>
          <w:color w:val="auto"/>
        </w:rPr>
        <w:t xml:space="preserve">Infrastructure </w:t>
      </w:r>
    </w:p>
    <w:p w:rsidR="00C973D0" w:rsidRPr="00540A8B" w:rsidRDefault="00540A8B" w:rsidP="00540A8B">
      <w:pPr>
        <w:numPr>
          <w:ilvl w:val="0"/>
          <w:numId w:val="34"/>
        </w:numPr>
        <w:spacing w:after="0"/>
        <w:rPr>
          <w:rFonts w:cs="Arial"/>
          <w:color w:val="auto"/>
          <w:spacing w:val="-2"/>
        </w:rPr>
      </w:pPr>
      <w:r>
        <w:rPr>
          <w:rFonts w:cs="Arial"/>
          <w:color w:val="auto"/>
        </w:rPr>
        <w:t>Strategic planning</w:t>
      </w:r>
    </w:p>
    <w:p w:rsidR="00540A8B" w:rsidRPr="00A15F7B" w:rsidRDefault="00540A8B" w:rsidP="00540A8B">
      <w:pPr>
        <w:numPr>
          <w:ilvl w:val="0"/>
          <w:numId w:val="34"/>
        </w:numPr>
        <w:spacing w:after="0"/>
        <w:rPr>
          <w:rFonts w:cs="Arial"/>
          <w:color w:val="auto"/>
          <w:spacing w:val="-2"/>
        </w:rPr>
      </w:pPr>
      <w:r>
        <w:rPr>
          <w:rFonts w:cs="Arial"/>
          <w:color w:val="auto"/>
        </w:rPr>
        <w:t>Strategic housing strategy</w:t>
      </w:r>
    </w:p>
    <w:p w:rsidR="00C973D0" w:rsidRPr="00A15F7B" w:rsidRDefault="00C973D0" w:rsidP="00540A8B">
      <w:pPr>
        <w:numPr>
          <w:ilvl w:val="0"/>
          <w:numId w:val="34"/>
        </w:numPr>
        <w:spacing w:after="0"/>
        <w:rPr>
          <w:rFonts w:cs="Arial"/>
          <w:color w:val="auto"/>
          <w:spacing w:val="-2"/>
        </w:rPr>
      </w:pPr>
      <w:r w:rsidRPr="00A15F7B">
        <w:rPr>
          <w:rFonts w:cs="Arial"/>
          <w:color w:val="auto"/>
        </w:rPr>
        <w:t xml:space="preserve">Highways and transport </w:t>
      </w:r>
    </w:p>
    <w:p w:rsidR="00C973D0" w:rsidRPr="00A15F7B" w:rsidRDefault="00C973D0" w:rsidP="00540A8B">
      <w:pPr>
        <w:numPr>
          <w:ilvl w:val="0"/>
          <w:numId w:val="34"/>
        </w:numPr>
        <w:spacing w:after="0"/>
        <w:rPr>
          <w:rFonts w:cs="Arial"/>
          <w:color w:val="auto"/>
          <w:spacing w:val="-2"/>
        </w:rPr>
      </w:pPr>
      <w:r w:rsidRPr="0026018B">
        <w:rPr>
          <w:rFonts w:cs="Arial"/>
          <w:color w:val="auto"/>
        </w:rPr>
        <w:t>S</w:t>
      </w:r>
      <w:r w:rsidRPr="00A15F7B">
        <w:rPr>
          <w:rFonts w:cs="Arial"/>
          <w:color w:val="auto"/>
        </w:rPr>
        <w:t>kills</w:t>
      </w:r>
      <w:r w:rsidRPr="0026018B">
        <w:rPr>
          <w:rFonts w:cs="Arial"/>
          <w:color w:val="auto"/>
        </w:rPr>
        <w:t xml:space="preserve"> and Business Support</w:t>
      </w:r>
    </w:p>
    <w:p w:rsidR="00A15F7B" w:rsidRPr="0026018B" w:rsidRDefault="00A15F7B" w:rsidP="00822ED3">
      <w:pPr>
        <w:spacing w:after="0"/>
        <w:rPr>
          <w:rFonts w:eastAsia="Calibri" w:cs="Arial"/>
          <w:b/>
          <w:color w:val="auto"/>
          <w:lang w:eastAsia="en-US"/>
        </w:rPr>
      </w:pPr>
    </w:p>
    <w:p w:rsidR="00A15F7B" w:rsidRPr="00A15F7B" w:rsidRDefault="00A15F7B" w:rsidP="00822ED3">
      <w:pPr>
        <w:keepNext/>
        <w:tabs>
          <w:tab w:val="num" w:pos="360"/>
        </w:tabs>
        <w:spacing w:after="0"/>
        <w:ind w:hanging="360"/>
        <w:outlineLvl w:val="0"/>
        <w:rPr>
          <w:rFonts w:cs="Arial"/>
          <w:b/>
          <w:caps/>
          <w:color w:val="auto"/>
          <w:kern w:val="32"/>
        </w:rPr>
      </w:pPr>
    </w:p>
    <w:p w:rsidR="00BC2822" w:rsidRPr="0026018B" w:rsidRDefault="0026018B" w:rsidP="00822ED3">
      <w:pPr>
        <w:numPr>
          <w:ilvl w:val="1"/>
          <w:numId w:val="0"/>
        </w:numPr>
        <w:tabs>
          <w:tab w:val="num" w:pos="792"/>
        </w:tabs>
        <w:spacing w:after="0"/>
        <w:ind w:hanging="432"/>
        <w:rPr>
          <w:rFonts w:cs="Arial"/>
          <w:b/>
          <w:color w:val="auto"/>
          <w:spacing w:val="-2"/>
        </w:rPr>
      </w:pPr>
      <w:r>
        <w:rPr>
          <w:rFonts w:cs="Arial"/>
          <w:b/>
          <w:color w:val="auto"/>
          <w:spacing w:val="-2"/>
        </w:rPr>
        <w:tab/>
      </w:r>
      <w:r w:rsidR="00BC2822" w:rsidRPr="0026018B">
        <w:rPr>
          <w:rFonts w:cs="Arial"/>
          <w:b/>
          <w:color w:val="auto"/>
          <w:spacing w:val="-2"/>
        </w:rPr>
        <w:t>Alternative options</w:t>
      </w:r>
    </w:p>
    <w:p w:rsidR="00BC2822" w:rsidRPr="0026018B" w:rsidRDefault="00BC2822" w:rsidP="00822ED3">
      <w:pPr>
        <w:numPr>
          <w:ilvl w:val="1"/>
          <w:numId w:val="0"/>
        </w:numPr>
        <w:tabs>
          <w:tab w:val="num" w:pos="792"/>
        </w:tabs>
        <w:spacing w:after="0"/>
        <w:ind w:hanging="432"/>
        <w:rPr>
          <w:rFonts w:cs="Arial"/>
          <w:b/>
          <w:color w:val="auto"/>
          <w:spacing w:val="-2"/>
        </w:rPr>
      </w:pPr>
    </w:p>
    <w:p w:rsidR="00A15F7B" w:rsidRPr="0026018B" w:rsidRDefault="00A15F7B" w:rsidP="00540A8B">
      <w:pPr>
        <w:numPr>
          <w:ilvl w:val="0"/>
          <w:numId w:val="37"/>
        </w:numPr>
        <w:spacing w:after="0"/>
        <w:ind w:left="360"/>
        <w:rPr>
          <w:rFonts w:cs="Arial"/>
          <w:color w:val="auto"/>
          <w:spacing w:val="-2"/>
        </w:rPr>
      </w:pPr>
      <w:r w:rsidRPr="00A15F7B">
        <w:rPr>
          <w:rFonts w:cs="Arial"/>
          <w:color w:val="auto"/>
          <w:spacing w:val="-2"/>
        </w:rPr>
        <w:t xml:space="preserve">The Council could determine not to support a devolution deal but this </w:t>
      </w:r>
      <w:r w:rsidR="00BC2822" w:rsidRPr="0026018B">
        <w:rPr>
          <w:rFonts w:cs="Arial"/>
          <w:color w:val="auto"/>
          <w:spacing w:val="-2"/>
        </w:rPr>
        <w:t>is likely to mean Oxfordshire will be unable to secure the investment in infrastructure that is essential to tackling challenges of transport congestion and housing delivery and to securing the areas</w:t>
      </w:r>
      <w:r w:rsidR="00540A8B">
        <w:rPr>
          <w:rFonts w:cs="Arial"/>
          <w:color w:val="auto"/>
          <w:spacing w:val="-2"/>
        </w:rPr>
        <w:t>’</w:t>
      </w:r>
      <w:r w:rsidR="00BC2822" w:rsidRPr="0026018B">
        <w:rPr>
          <w:rFonts w:cs="Arial"/>
          <w:color w:val="auto"/>
          <w:spacing w:val="-2"/>
        </w:rPr>
        <w:t xml:space="preserve"> economic potential.</w:t>
      </w:r>
    </w:p>
    <w:p w:rsidR="00BC2822" w:rsidRPr="00A15F7B" w:rsidRDefault="00BC2822" w:rsidP="00540A8B">
      <w:pPr>
        <w:numPr>
          <w:ilvl w:val="1"/>
          <w:numId w:val="0"/>
        </w:numPr>
        <w:tabs>
          <w:tab w:val="num" w:pos="792"/>
        </w:tabs>
        <w:spacing w:after="0"/>
        <w:ind w:left="-360" w:hanging="432"/>
        <w:rPr>
          <w:rFonts w:cs="Arial"/>
          <w:color w:val="auto"/>
          <w:spacing w:val="-2"/>
        </w:rPr>
      </w:pPr>
    </w:p>
    <w:p w:rsidR="00A15F7B" w:rsidRPr="0026018B" w:rsidRDefault="00A15F7B" w:rsidP="00540A8B">
      <w:pPr>
        <w:numPr>
          <w:ilvl w:val="0"/>
          <w:numId w:val="37"/>
        </w:numPr>
        <w:spacing w:after="0"/>
        <w:ind w:left="360"/>
        <w:rPr>
          <w:rFonts w:cs="Arial"/>
          <w:color w:val="auto"/>
          <w:spacing w:val="-2"/>
        </w:rPr>
      </w:pPr>
      <w:r w:rsidRPr="00A15F7B">
        <w:rPr>
          <w:rFonts w:cs="Arial"/>
          <w:color w:val="auto"/>
          <w:spacing w:val="-2"/>
        </w:rPr>
        <w:t>The Council could seek to support a deal without an elected mayor but again this is unlikely to lead to a deal with any substantial funds or powers being devolved.</w:t>
      </w:r>
    </w:p>
    <w:p w:rsidR="00BC2822" w:rsidRDefault="00BC2822" w:rsidP="00822ED3">
      <w:pPr>
        <w:numPr>
          <w:ilvl w:val="1"/>
          <w:numId w:val="0"/>
        </w:numPr>
        <w:tabs>
          <w:tab w:val="num" w:pos="792"/>
        </w:tabs>
        <w:spacing w:after="0"/>
        <w:ind w:hanging="432"/>
        <w:rPr>
          <w:rFonts w:cs="Arial"/>
          <w:color w:val="auto"/>
          <w:spacing w:val="-2"/>
        </w:rPr>
      </w:pPr>
    </w:p>
    <w:p w:rsidR="002D327F" w:rsidRPr="00A15F7B" w:rsidRDefault="002D327F" w:rsidP="00822ED3">
      <w:pPr>
        <w:numPr>
          <w:ilvl w:val="1"/>
          <w:numId w:val="0"/>
        </w:numPr>
        <w:tabs>
          <w:tab w:val="num" w:pos="792"/>
        </w:tabs>
        <w:spacing w:after="0"/>
        <w:ind w:hanging="432"/>
        <w:rPr>
          <w:rFonts w:cs="Arial"/>
          <w:color w:val="auto"/>
          <w:spacing w:val="-2"/>
        </w:rPr>
      </w:pPr>
    </w:p>
    <w:p w:rsidR="0040736F" w:rsidRDefault="002329CF" w:rsidP="00822ED3">
      <w:pPr>
        <w:pStyle w:val="Heading1"/>
        <w:spacing w:before="0" w:after="0"/>
        <w:rPr>
          <w:rFonts w:cs="Arial"/>
        </w:rPr>
      </w:pPr>
      <w:r w:rsidRPr="0026018B">
        <w:rPr>
          <w:rFonts w:cs="Arial"/>
        </w:rPr>
        <w:lastRenderedPageBreak/>
        <w:t>Financial implications</w:t>
      </w:r>
    </w:p>
    <w:p w:rsidR="00540A8B" w:rsidRPr="00540A8B" w:rsidRDefault="00540A8B" w:rsidP="00540A8B"/>
    <w:p w:rsidR="00BC2822" w:rsidRPr="0026018B" w:rsidRDefault="00BC2822" w:rsidP="00540A8B">
      <w:pPr>
        <w:numPr>
          <w:ilvl w:val="0"/>
          <w:numId w:val="37"/>
        </w:numPr>
        <w:ind w:left="426"/>
        <w:rPr>
          <w:rFonts w:cs="Arial"/>
          <w:color w:val="auto"/>
        </w:rPr>
      </w:pPr>
      <w:r w:rsidRPr="00BC2822">
        <w:rPr>
          <w:rFonts w:cs="Arial"/>
          <w:color w:val="auto"/>
        </w:rPr>
        <w:t xml:space="preserve">There are no additional financial implications </w:t>
      </w:r>
      <w:r w:rsidRPr="0026018B">
        <w:rPr>
          <w:rFonts w:cs="Arial"/>
          <w:color w:val="auto"/>
        </w:rPr>
        <w:t xml:space="preserve">arising directly from this report. The financial implications of a devolution deal will be fully </w:t>
      </w:r>
      <w:r w:rsidR="00BA57C8" w:rsidRPr="0026018B">
        <w:rPr>
          <w:rFonts w:cs="Arial"/>
          <w:color w:val="auto"/>
        </w:rPr>
        <w:t xml:space="preserve">examined as part of the process of developing the proposals. </w:t>
      </w:r>
    </w:p>
    <w:p w:rsidR="00BA57C8" w:rsidRPr="00BC2822" w:rsidRDefault="00BA57C8" w:rsidP="00BC2822">
      <w:pPr>
        <w:numPr>
          <w:ilvl w:val="1"/>
          <w:numId w:val="0"/>
        </w:numPr>
        <w:tabs>
          <w:tab w:val="num" w:pos="792"/>
        </w:tabs>
        <w:rPr>
          <w:rFonts w:cs="Arial"/>
          <w:color w:val="auto"/>
        </w:rPr>
      </w:pPr>
    </w:p>
    <w:p w:rsidR="0040736F" w:rsidRDefault="00DA614B" w:rsidP="00822ED3">
      <w:pPr>
        <w:pStyle w:val="Heading1"/>
        <w:spacing w:before="0" w:after="0"/>
        <w:rPr>
          <w:rFonts w:cs="Arial"/>
        </w:rPr>
      </w:pPr>
      <w:r w:rsidRPr="0026018B">
        <w:rPr>
          <w:rFonts w:cs="Arial"/>
        </w:rPr>
        <w:t>Legal issues</w:t>
      </w:r>
    </w:p>
    <w:p w:rsidR="00540A8B" w:rsidRPr="00540A8B" w:rsidRDefault="00540A8B" w:rsidP="00540A8B"/>
    <w:p w:rsidR="00BA57C8" w:rsidRPr="0026018B" w:rsidRDefault="00BA57C8" w:rsidP="00540A8B">
      <w:pPr>
        <w:pStyle w:val="ListParagraph"/>
        <w:numPr>
          <w:ilvl w:val="0"/>
          <w:numId w:val="37"/>
        </w:numPr>
        <w:spacing w:after="0"/>
        <w:rPr>
          <w:rFonts w:cs="Arial"/>
        </w:rPr>
      </w:pPr>
      <w:r w:rsidRPr="0026018B">
        <w:rPr>
          <w:rFonts w:cs="Arial"/>
        </w:rPr>
        <w:t xml:space="preserve">Proposals for the functions and powers of a combined authority and mayor will need to be developed in accordance with the provisions of the </w:t>
      </w:r>
      <w:r w:rsidR="000A30A5">
        <w:rPr>
          <w:rFonts w:cs="Arial"/>
        </w:rPr>
        <w:t xml:space="preserve">Cities </w:t>
      </w:r>
      <w:r w:rsidRPr="0026018B">
        <w:rPr>
          <w:rFonts w:cs="Arial"/>
        </w:rPr>
        <w:t xml:space="preserve">and </w:t>
      </w:r>
      <w:r w:rsidR="000A30A5">
        <w:rPr>
          <w:rFonts w:cs="Arial"/>
        </w:rPr>
        <w:t xml:space="preserve">Local Government </w:t>
      </w:r>
      <w:r w:rsidRPr="0026018B">
        <w:rPr>
          <w:rFonts w:cs="Arial"/>
        </w:rPr>
        <w:t>Devolution Act 2016.</w:t>
      </w:r>
    </w:p>
    <w:p w:rsidR="00BA57C8" w:rsidRPr="0026018B" w:rsidRDefault="00BA57C8" w:rsidP="00822ED3">
      <w:pPr>
        <w:pStyle w:val="Heading1"/>
        <w:spacing w:before="0" w:after="0"/>
        <w:rPr>
          <w:rFonts w:cs="Arial"/>
        </w:rPr>
      </w:pPr>
    </w:p>
    <w:p w:rsidR="002329CF" w:rsidRPr="0026018B" w:rsidRDefault="002329CF" w:rsidP="00822ED3">
      <w:pPr>
        <w:pStyle w:val="Heading1"/>
        <w:spacing w:before="0" w:after="0"/>
        <w:rPr>
          <w:rFonts w:cs="Arial"/>
        </w:rPr>
      </w:pPr>
      <w:r w:rsidRPr="0026018B">
        <w:rPr>
          <w:rFonts w:cs="Arial"/>
        </w:rPr>
        <w:t>Level of risk</w:t>
      </w:r>
    </w:p>
    <w:p w:rsidR="00BA57C8" w:rsidRPr="0026018B" w:rsidRDefault="00BA57C8" w:rsidP="00540A8B">
      <w:pPr>
        <w:pStyle w:val="ListParagraph"/>
        <w:numPr>
          <w:ilvl w:val="0"/>
          <w:numId w:val="37"/>
        </w:numPr>
      </w:pPr>
      <w:r w:rsidRPr="0026018B">
        <w:t xml:space="preserve">In the absence of consensus on collective governance arrangements it is unlikely that Oxfordshire will </w:t>
      </w:r>
      <w:r w:rsidR="0026018B" w:rsidRPr="0026018B">
        <w:t>secure infrastructure investment that will make a direct contribution to the achievement of the City Councils’ corporate plan priorities.</w:t>
      </w:r>
    </w:p>
    <w:p w:rsidR="00BA57C8" w:rsidRPr="0026018B" w:rsidRDefault="00BA57C8" w:rsidP="00540A8B">
      <w:pPr>
        <w:pStyle w:val="ListParagraph"/>
        <w:numPr>
          <w:ilvl w:val="0"/>
          <w:numId w:val="37"/>
        </w:numPr>
      </w:pPr>
      <w:r w:rsidRPr="0026018B">
        <w:t xml:space="preserve">There remains a risk that the County Council will submit a unitary bid and that this could negatively impact on the ability to achieve consensus in support for </w:t>
      </w:r>
      <w:proofErr w:type="gramStart"/>
      <w:r w:rsidRPr="0026018B">
        <w:t>a devolution</w:t>
      </w:r>
      <w:proofErr w:type="gramEnd"/>
      <w:r w:rsidRPr="0026018B">
        <w:t xml:space="preserve"> deal.</w:t>
      </w:r>
    </w:p>
    <w:p w:rsidR="00E206D6" w:rsidRPr="0026018B" w:rsidRDefault="00E206D6" w:rsidP="00822ED3">
      <w:pPr>
        <w:pStyle w:val="ListParagraph"/>
        <w:numPr>
          <w:ilvl w:val="0"/>
          <w:numId w:val="0"/>
        </w:numPr>
        <w:spacing w:after="0"/>
        <w:rPr>
          <w:rFonts w:cs="Arial"/>
        </w:rPr>
      </w:pPr>
    </w:p>
    <w:p w:rsidR="002329CF" w:rsidRPr="0026018B" w:rsidRDefault="002329CF" w:rsidP="00822ED3">
      <w:pPr>
        <w:spacing w:after="0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26018B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26018B" w:rsidRDefault="00E87F7A" w:rsidP="00822ED3">
            <w:pPr>
              <w:spacing w:after="0"/>
              <w:rPr>
                <w:rFonts w:cs="Arial"/>
                <w:b/>
              </w:rPr>
            </w:pPr>
            <w:r w:rsidRPr="0026018B">
              <w:rPr>
                <w:rFonts w:cs="Arial"/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26018B" w:rsidRDefault="00BC2822" w:rsidP="00822ED3">
            <w:pPr>
              <w:spacing w:after="0"/>
              <w:rPr>
                <w:rFonts w:cs="Arial"/>
              </w:rPr>
            </w:pPr>
            <w:r w:rsidRPr="0026018B">
              <w:rPr>
                <w:rFonts w:cs="Arial"/>
              </w:rPr>
              <w:t>Caroline Green</w:t>
            </w:r>
          </w:p>
        </w:tc>
      </w:tr>
      <w:tr w:rsidR="00DF093E" w:rsidRPr="0026018B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26018B" w:rsidRDefault="00E87F7A" w:rsidP="00822ED3">
            <w:pPr>
              <w:spacing w:after="0"/>
              <w:rPr>
                <w:rFonts w:cs="Arial"/>
              </w:rPr>
            </w:pPr>
            <w:r w:rsidRPr="0026018B">
              <w:rPr>
                <w:rFonts w:cs="Arial"/>
              </w:rPr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26018B" w:rsidRDefault="00BC2822" w:rsidP="00822ED3">
            <w:pPr>
              <w:spacing w:after="0"/>
              <w:rPr>
                <w:rFonts w:cs="Arial"/>
              </w:rPr>
            </w:pPr>
            <w:r w:rsidRPr="0026018B">
              <w:rPr>
                <w:rFonts w:cs="Arial"/>
              </w:rPr>
              <w:t>Assistant Chief Executive</w:t>
            </w:r>
          </w:p>
        </w:tc>
      </w:tr>
      <w:tr w:rsidR="00DF093E" w:rsidRPr="0026018B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26018B" w:rsidRDefault="00E87F7A" w:rsidP="00822ED3">
            <w:pPr>
              <w:spacing w:after="0"/>
              <w:rPr>
                <w:rFonts w:cs="Arial"/>
              </w:rPr>
            </w:pPr>
            <w:r w:rsidRPr="0026018B">
              <w:rPr>
                <w:rFonts w:cs="Arial"/>
              </w:rPr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26018B" w:rsidRDefault="00BC2822" w:rsidP="00822ED3">
            <w:pPr>
              <w:spacing w:after="0"/>
              <w:rPr>
                <w:rFonts w:cs="Arial"/>
              </w:rPr>
            </w:pPr>
            <w:r w:rsidRPr="0026018B">
              <w:rPr>
                <w:rFonts w:cs="Arial"/>
              </w:rPr>
              <w:t>Assistant Chief Executive</w:t>
            </w:r>
          </w:p>
        </w:tc>
      </w:tr>
      <w:tr w:rsidR="00DF093E" w:rsidRPr="0026018B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26018B" w:rsidRDefault="00E87F7A" w:rsidP="00822ED3">
            <w:pPr>
              <w:spacing w:after="0"/>
              <w:rPr>
                <w:rFonts w:cs="Arial"/>
              </w:rPr>
            </w:pPr>
            <w:r w:rsidRPr="0026018B">
              <w:rPr>
                <w:rFonts w:cs="Arial"/>
              </w:rPr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26018B" w:rsidRDefault="00BC2822" w:rsidP="00822ED3">
            <w:pPr>
              <w:spacing w:after="0"/>
              <w:rPr>
                <w:rFonts w:cs="Arial"/>
              </w:rPr>
            </w:pPr>
            <w:r w:rsidRPr="0026018B">
              <w:rPr>
                <w:rFonts w:cs="Arial"/>
                <w:noProof/>
              </w:rPr>
              <w:t>07483 007109</w:t>
            </w:r>
          </w:p>
        </w:tc>
      </w:tr>
      <w:tr w:rsidR="005570B5" w:rsidRPr="0026018B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26018B" w:rsidRDefault="00E87F7A" w:rsidP="00822ED3">
            <w:pPr>
              <w:spacing w:after="0"/>
              <w:rPr>
                <w:rFonts w:cs="Arial"/>
              </w:rPr>
            </w:pPr>
            <w:r w:rsidRPr="0026018B">
              <w:rPr>
                <w:rFonts w:cs="Arial"/>
              </w:rPr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26018B" w:rsidRDefault="00BC2822" w:rsidP="00822ED3">
            <w:pPr>
              <w:spacing w:after="0"/>
              <w:rPr>
                <w:rStyle w:val="Hyperlink"/>
                <w:rFonts w:cs="Arial"/>
                <w:color w:val="000000"/>
              </w:rPr>
            </w:pPr>
            <w:r w:rsidRPr="0026018B">
              <w:rPr>
                <w:rStyle w:val="Hyperlink"/>
                <w:rFonts w:cs="Arial"/>
                <w:color w:val="000000"/>
              </w:rPr>
              <w:t>cgreen@oxford.gov.uk</w:t>
            </w:r>
          </w:p>
        </w:tc>
      </w:tr>
    </w:tbl>
    <w:p w:rsidR="00433B96" w:rsidRPr="0026018B" w:rsidRDefault="00433B96" w:rsidP="00822ED3">
      <w:pPr>
        <w:spacing w:after="0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F093E" w:rsidRPr="0026018B" w:rsidTr="00A46E98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067A" w:rsidRPr="0026018B" w:rsidRDefault="00182B81" w:rsidP="00822ED3">
            <w:pPr>
              <w:spacing w:after="0"/>
              <w:rPr>
                <w:rFonts w:cs="Arial"/>
              </w:rPr>
            </w:pPr>
            <w:r w:rsidRPr="0026018B">
              <w:rPr>
                <w:rStyle w:val="Firstpagetablebold"/>
                <w:rFonts w:cs="Arial"/>
              </w:rPr>
              <w:t xml:space="preserve">Background Papers: </w:t>
            </w:r>
            <w:r w:rsidRPr="0026018B">
              <w:rPr>
                <w:rStyle w:val="Firstpagetablebold"/>
                <w:rFonts w:cs="Arial"/>
                <w:b w:val="0"/>
              </w:rPr>
              <w:t>None</w:t>
            </w:r>
          </w:p>
        </w:tc>
      </w:tr>
    </w:tbl>
    <w:p w:rsidR="00CE4C87" w:rsidRPr="0026018B" w:rsidRDefault="00CE4C87" w:rsidP="00822ED3">
      <w:pPr>
        <w:spacing w:after="0"/>
        <w:rPr>
          <w:rFonts w:cs="Arial"/>
        </w:rPr>
      </w:pPr>
    </w:p>
    <w:p w:rsidR="009B7D48" w:rsidRPr="0026018B" w:rsidRDefault="009B7D48" w:rsidP="00822ED3">
      <w:pPr>
        <w:spacing w:after="0"/>
        <w:rPr>
          <w:rFonts w:cs="Arial"/>
        </w:rPr>
      </w:pPr>
    </w:p>
    <w:p w:rsidR="004456DD" w:rsidRPr="0026018B" w:rsidRDefault="004456DD" w:rsidP="002D327F">
      <w:pPr>
        <w:autoSpaceDE w:val="0"/>
        <w:autoSpaceDN w:val="0"/>
        <w:adjustRightInd w:val="0"/>
        <w:spacing w:after="0"/>
        <w:rPr>
          <w:rFonts w:cs="Arial"/>
        </w:rPr>
      </w:pPr>
    </w:p>
    <w:sectPr w:rsidR="004456DD" w:rsidRPr="0026018B" w:rsidSect="00BC200B">
      <w:footerReference w:type="even" r:id="rId9"/>
      <w:headerReference w:type="first" r:id="rId10"/>
      <w:footerReference w:type="first" r:id="rId11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A5" w:rsidRDefault="000A30A5" w:rsidP="004A6D2F">
      <w:r>
        <w:separator/>
      </w:r>
    </w:p>
  </w:endnote>
  <w:endnote w:type="continuationSeparator" w:id="0">
    <w:p w:rsidR="000A30A5" w:rsidRDefault="000A30A5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A5" w:rsidRDefault="000A30A5" w:rsidP="004A6D2F">
      <w:r>
        <w:separator/>
      </w:r>
    </w:p>
  </w:footnote>
  <w:footnote w:type="continuationSeparator" w:id="0">
    <w:p w:rsidR="000A30A5" w:rsidRDefault="000A30A5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7E" w:rsidRDefault="000A30A5" w:rsidP="00D5547E">
    <w:pPr>
      <w:pStyle w:val="Header"/>
      <w:jc w:val="right"/>
    </w:pPr>
    <w:r>
      <w:rPr>
        <w:noProof/>
      </w:rPr>
      <w:drawing>
        <wp:inline distT="0" distB="0" distL="0" distR="0">
          <wp:extent cx="841375" cy="1116965"/>
          <wp:effectExtent l="0" t="0" r="0" b="6985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116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35E37"/>
    <w:multiLevelType w:val="hybridMultilevel"/>
    <w:tmpl w:val="61346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9C05EF"/>
    <w:multiLevelType w:val="multilevel"/>
    <w:tmpl w:val="43D6D2FA"/>
    <w:numStyleLink w:val="StyleBulletedSymbolsymbolLeft063cmHanging063cm"/>
  </w:abstractNum>
  <w:abstractNum w:abstractNumId="14">
    <w:nsid w:val="04AB50B0"/>
    <w:multiLevelType w:val="multilevel"/>
    <w:tmpl w:val="DF24F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200472"/>
    <w:multiLevelType w:val="hybridMultilevel"/>
    <w:tmpl w:val="6C1492BA"/>
    <w:lvl w:ilvl="0" w:tplc="0809000F">
      <w:start w:val="1"/>
      <w:numFmt w:val="decimal"/>
      <w:lvlText w:val="%1."/>
      <w:lvlJc w:val="left"/>
      <w:pPr>
        <w:ind w:left="288" w:hanging="360"/>
      </w:pPr>
    </w:lvl>
    <w:lvl w:ilvl="1" w:tplc="08090019" w:tentative="1">
      <w:start w:val="1"/>
      <w:numFmt w:val="lowerLetter"/>
      <w:lvlText w:val="%2."/>
      <w:lvlJc w:val="left"/>
      <w:pPr>
        <w:ind w:left="1008" w:hanging="360"/>
      </w:pPr>
    </w:lvl>
    <w:lvl w:ilvl="2" w:tplc="0809001B" w:tentative="1">
      <w:start w:val="1"/>
      <w:numFmt w:val="lowerRoman"/>
      <w:lvlText w:val="%3."/>
      <w:lvlJc w:val="right"/>
      <w:pPr>
        <w:ind w:left="1728" w:hanging="180"/>
      </w:pPr>
    </w:lvl>
    <w:lvl w:ilvl="3" w:tplc="0809000F" w:tentative="1">
      <w:start w:val="1"/>
      <w:numFmt w:val="decimal"/>
      <w:lvlText w:val="%4."/>
      <w:lvlJc w:val="left"/>
      <w:pPr>
        <w:ind w:left="2448" w:hanging="360"/>
      </w:pPr>
    </w:lvl>
    <w:lvl w:ilvl="4" w:tplc="08090019" w:tentative="1">
      <w:start w:val="1"/>
      <w:numFmt w:val="lowerLetter"/>
      <w:lvlText w:val="%5."/>
      <w:lvlJc w:val="left"/>
      <w:pPr>
        <w:ind w:left="3168" w:hanging="360"/>
      </w:pPr>
    </w:lvl>
    <w:lvl w:ilvl="5" w:tplc="0809001B" w:tentative="1">
      <w:start w:val="1"/>
      <w:numFmt w:val="lowerRoman"/>
      <w:lvlText w:val="%6."/>
      <w:lvlJc w:val="right"/>
      <w:pPr>
        <w:ind w:left="3888" w:hanging="180"/>
      </w:pPr>
    </w:lvl>
    <w:lvl w:ilvl="6" w:tplc="0809000F" w:tentative="1">
      <w:start w:val="1"/>
      <w:numFmt w:val="decimal"/>
      <w:lvlText w:val="%7."/>
      <w:lvlJc w:val="left"/>
      <w:pPr>
        <w:ind w:left="4608" w:hanging="360"/>
      </w:pPr>
    </w:lvl>
    <w:lvl w:ilvl="7" w:tplc="08090019" w:tentative="1">
      <w:start w:val="1"/>
      <w:numFmt w:val="lowerLetter"/>
      <w:lvlText w:val="%8."/>
      <w:lvlJc w:val="left"/>
      <w:pPr>
        <w:ind w:left="5328" w:hanging="360"/>
      </w:pPr>
    </w:lvl>
    <w:lvl w:ilvl="8" w:tplc="08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8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2263A6A"/>
    <w:multiLevelType w:val="multilevel"/>
    <w:tmpl w:val="43D6D2FA"/>
    <w:numStyleLink w:val="StyleBulletedSymbolsymbolLeft063cmHanging063cm"/>
  </w:abstractNum>
  <w:abstractNum w:abstractNumId="21">
    <w:nsid w:val="237A417D"/>
    <w:multiLevelType w:val="hybridMultilevel"/>
    <w:tmpl w:val="59F0AB34"/>
    <w:lvl w:ilvl="0" w:tplc="86BE8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67544">
      <w:start w:val="34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724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8A7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168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A6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A5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6E2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AE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41909"/>
    <w:multiLevelType w:val="hybridMultilevel"/>
    <w:tmpl w:val="19AC5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BA5FD8"/>
    <w:multiLevelType w:val="multilevel"/>
    <w:tmpl w:val="43D6D2FA"/>
    <w:numStyleLink w:val="StyleBulletedSymbolsymbolLeft063cmHanging063cm"/>
  </w:abstractNum>
  <w:abstractNum w:abstractNumId="32">
    <w:nsid w:val="5B4C3151"/>
    <w:multiLevelType w:val="hybridMultilevel"/>
    <w:tmpl w:val="3CCE3F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A22831"/>
    <w:multiLevelType w:val="multilevel"/>
    <w:tmpl w:val="43D6D2FA"/>
    <w:numStyleLink w:val="StyleBulletedSymbolsymbolLeft063cmHanging063cm"/>
  </w:abstractNum>
  <w:abstractNum w:abstractNumId="35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8365C6"/>
    <w:multiLevelType w:val="multilevel"/>
    <w:tmpl w:val="E67CE66C"/>
    <w:numStyleLink w:val="StyleNumberedLeft0cmHanging075cm"/>
  </w:abstractNum>
  <w:num w:numId="1">
    <w:abstractNumId w:val="30"/>
  </w:num>
  <w:num w:numId="2">
    <w:abstractNumId w:val="36"/>
  </w:num>
  <w:num w:numId="3">
    <w:abstractNumId w:val="26"/>
  </w:num>
  <w:num w:numId="4">
    <w:abstractNumId w:val="22"/>
  </w:num>
  <w:num w:numId="5">
    <w:abstractNumId w:val="33"/>
  </w:num>
  <w:num w:numId="6">
    <w:abstractNumId w:val="37"/>
  </w:num>
  <w:num w:numId="7">
    <w:abstractNumId w:val="25"/>
  </w:num>
  <w:num w:numId="8">
    <w:abstractNumId w:val="23"/>
  </w:num>
  <w:num w:numId="9">
    <w:abstractNumId w:val="15"/>
  </w:num>
  <w:num w:numId="10">
    <w:abstractNumId w:val="18"/>
  </w:num>
  <w:num w:numId="11">
    <w:abstractNumId w:val="28"/>
  </w:num>
  <w:num w:numId="12">
    <w:abstractNumId w:val="27"/>
  </w:num>
  <w:num w:numId="13">
    <w:abstractNumId w:val="11"/>
  </w:num>
  <w:num w:numId="14">
    <w:abstractNumId w:val="38"/>
  </w:num>
  <w:num w:numId="15">
    <w:abstractNumId w:val="19"/>
  </w:num>
  <w:num w:numId="16">
    <w:abstractNumId w:val="12"/>
  </w:num>
  <w:num w:numId="17">
    <w:abstractNumId w:val="31"/>
  </w:num>
  <w:num w:numId="18">
    <w:abstractNumId w:val="13"/>
  </w:num>
  <w:num w:numId="19">
    <w:abstractNumId w:val="34"/>
  </w:num>
  <w:num w:numId="20">
    <w:abstractNumId w:val="20"/>
  </w:num>
  <w:num w:numId="21">
    <w:abstractNumId w:val="24"/>
  </w:num>
  <w:num w:numId="22">
    <w:abstractNumId w:val="16"/>
  </w:num>
  <w:num w:numId="23">
    <w:abstractNumId w:val="35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2"/>
  </w:num>
  <w:num w:numId="35">
    <w:abstractNumId w:val="14"/>
  </w:num>
  <w:num w:numId="36">
    <w:abstractNumId w:val="21"/>
  </w:num>
  <w:num w:numId="37">
    <w:abstractNumId w:val="29"/>
  </w:num>
  <w:num w:numId="38">
    <w:abstractNumId w:val="17"/>
  </w:num>
  <w:num w:numId="3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A5"/>
    <w:rsid w:val="000117D4"/>
    <w:rsid w:val="000314D7"/>
    <w:rsid w:val="00045F8B"/>
    <w:rsid w:val="00046D2B"/>
    <w:rsid w:val="00056263"/>
    <w:rsid w:val="00064D8A"/>
    <w:rsid w:val="00064F82"/>
    <w:rsid w:val="00066510"/>
    <w:rsid w:val="00077523"/>
    <w:rsid w:val="000A30A5"/>
    <w:rsid w:val="000C089F"/>
    <w:rsid w:val="000C3928"/>
    <w:rsid w:val="000C5E8E"/>
    <w:rsid w:val="000F4751"/>
    <w:rsid w:val="0010524C"/>
    <w:rsid w:val="001104CE"/>
    <w:rsid w:val="00111FB1"/>
    <w:rsid w:val="00113418"/>
    <w:rsid w:val="001356F1"/>
    <w:rsid w:val="00136994"/>
    <w:rsid w:val="00137000"/>
    <w:rsid w:val="0014128E"/>
    <w:rsid w:val="00151888"/>
    <w:rsid w:val="00170A2D"/>
    <w:rsid w:val="001808BC"/>
    <w:rsid w:val="00182B81"/>
    <w:rsid w:val="0018619D"/>
    <w:rsid w:val="0019179B"/>
    <w:rsid w:val="0019344F"/>
    <w:rsid w:val="001A011E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2069B3"/>
    <w:rsid w:val="00221947"/>
    <w:rsid w:val="002329CF"/>
    <w:rsid w:val="00232F5B"/>
    <w:rsid w:val="00247C29"/>
    <w:rsid w:val="0026018B"/>
    <w:rsid w:val="00260467"/>
    <w:rsid w:val="00263EA3"/>
    <w:rsid w:val="00284F85"/>
    <w:rsid w:val="00290915"/>
    <w:rsid w:val="002A22E2"/>
    <w:rsid w:val="002C39A4"/>
    <w:rsid w:val="002C64F7"/>
    <w:rsid w:val="002D327F"/>
    <w:rsid w:val="002F41F2"/>
    <w:rsid w:val="00301BF3"/>
    <w:rsid w:val="0030208D"/>
    <w:rsid w:val="00323418"/>
    <w:rsid w:val="003357BF"/>
    <w:rsid w:val="00364FAD"/>
    <w:rsid w:val="0036738F"/>
    <w:rsid w:val="00367554"/>
    <w:rsid w:val="0036759C"/>
    <w:rsid w:val="00367AE5"/>
    <w:rsid w:val="00367D71"/>
    <w:rsid w:val="0038150A"/>
    <w:rsid w:val="003B6E75"/>
    <w:rsid w:val="003B7DA1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54E6D"/>
    <w:rsid w:val="004571EF"/>
    <w:rsid w:val="00462AB5"/>
    <w:rsid w:val="004643B1"/>
    <w:rsid w:val="00465EAF"/>
    <w:rsid w:val="004738C5"/>
    <w:rsid w:val="00491046"/>
    <w:rsid w:val="004A2AC7"/>
    <w:rsid w:val="004A6D2F"/>
    <w:rsid w:val="004C2887"/>
    <w:rsid w:val="004C7926"/>
    <w:rsid w:val="004D2626"/>
    <w:rsid w:val="004D6E26"/>
    <w:rsid w:val="004D77D3"/>
    <w:rsid w:val="004E2959"/>
    <w:rsid w:val="004F20EF"/>
    <w:rsid w:val="0050321C"/>
    <w:rsid w:val="00540A8B"/>
    <w:rsid w:val="0054420A"/>
    <w:rsid w:val="0054712D"/>
    <w:rsid w:val="0054735A"/>
    <w:rsid w:val="00547EF6"/>
    <w:rsid w:val="005570B5"/>
    <w:rsid w:val="00567E18"/>
    <w:rsid w:val="00575F5F"/>
    <w:rsid w:val="00581805"/>
    <w:rsid w:val="00585F76"/>
    <w:rsid w:val="005A34E4"/>
    <w:rsid w:val="005B17F2"/>
    <w:rsid w:val="005B7FB0"/>
    <w:rsid w:val="005C3262"/>
    <w:rsid w:val="005C35A5"/>
    <w:rsid w:val="005C577C"/>
    <w:rsid w:val="005D0621"/>
    <w:rsid w:val="005D0A11"/>
    <w:rsid w:val="005D1E27"/>
    <w:rsid w:val="005D2A3E"/>
    <w:rsid w:val="005E022E"/>
    <w:rsid w:val="005E5215"/>
    <w:rsid w:val="005F7F7E"/>
    <w:rsid w:val="00614693"/>
    <w:rsid w:val="00623C2F"/>
    <w:rsid w:val="00633578"/>
    <w:rsid w:val="00637068"/>
    <w:rsid w:val="00650811"/>
    <w:rsid w:val="00661D3E"/>
    <w:rsid w:val="00692627"/>
    <w:rsid w:val="006928CC"/>
    <w:rsid w:val="006969E7"/>
    <w:rsid w:val="006A3643"/>
    <w:rsid w:val="006C2A29"/>
    <w:rsid w:val="006C64CF"/>
    <w:rsid w:val="006D17B1"/>
    <w:rsid w:val="006D4752"/>
    <w:rsid w:val="006D708A"/>
    <w:rsid w:val="006E14C1"/>
    <w:rsid w:val="006F0292"/>
    <w:rsid w:val="006F27FA"/>
    <w:rsid w:val="006F416B"/>
    <w:rsid w:val="006F519B"/>
    <w:rsid w:val="00713675"/>
    <w:rsid w:val="00715823"/>
    <w:rsid w:val="007330EC"/>
    <w:rsid w:val="00737B93"/>
    <w:rsid w:val="00745A7D"/>
    <w:rsid w:val="00745BF0"/>
    <w:rsid w:val="007615FE"/>
    <w:rsid w:val="0076655C"/>
    <w:rsid w:val="007742DC"/>
    <w:rsid w:val="00791437"/>
    <w:rsid w:val="00792DD7"/>
    <w:rsid w:val="007B0C2C"/>
    <w:rsid w:val="007B278E"/>
    <w:rsid w:val="007B522D"/>
    <w:rsid w:val="007C5C23"/>
    <w:rsid w:val="007E2A26"/>
    <w:rsid w:val="007F2348"/>
    <w:rsid w:val="00803F07"/>
    <w:rsid w:val="0080749A"/>
    <w:rsid w:val="00821FB8"/>
    <w:rsid w:val="00822ACD"/>
    <w:rsid w:val="00822ED3"/>
    <w:rsid w:val="00855C66"/>
    <w:rsid w:val="00871EE4"/>
    <w:rsid w:val="008B293F"/>
    <w:rsid w:val="008B7371"/>
    <w:rsid w:val="008C0318"/>
    <w:rsid w:val="008D3399"/>
    <w:rsid w:val="008D3DDB"/>
    <w:rsid w:val="008F573F"/>
    <w:rsid w:val="009034EC"/>
    <w:rsid w:val="0093067A"/>
    <w:rsid w:val="00931484"/>
    <w:rsid w:val="00941C60"/>
    <w:rsid w:val="00966D42"/>
    <w:rsid w:val="00971689"/>
    <w:rsid w:val="00973E90"/>
    <w:rsid w:val="00975B07"/>
    <w:rsid w:val="00980B4A"/>
    <w:rsid w:val="009B7D48"/>
    <w:rsid w:val="009E3D0A"/>
    <w:rsid w:val="009E51FC"/>
    <w:rsid w:val="009F1D28"/>
    <w:rsid w:val="009F7618"/>
    <w:rsid w:val="00A04D23"/>
    <w:rsid w:val="00A06766"/>
    <w:rsid w:val="00A13765"/>
    <w:rsid w:val="00A15F7B"/>
    <w:rsid w:val="00A21B12"/>
    <w:rsid w:val="00A23F80"/>
    <w:rsid w:val="00A46E98"/>
    <w:rsid w:val="00A6352B"/>
    <w:rsid w:val="00A701B5"/>
    <w:rsid w:val="00A714BB"/>
    <w:rsid w:val="00A92D8F"/>
    <w:rsid w:val="00AB2988"/>
    <w:rsid w:val="00AB7999"/>
    <w:rsid w:val="00AD3292"/>
    <w:rsid w:val="00AE7AF0"/>
    <w:rsid w:val="00B500CA"/>
    <w:rsid w:val="00B66B7A"/>
    <w:rsid w:val="00B86314"/>
    <w:rsid w:val="00BA1C2E"/>
    <w:rsid w:val="00BA57C8"/>
    <w:rsid w:val="00BC200B"/>
    <w:rsid w:val="00BC2822"/>
    <w:rsid w:val="00BC4756"/>
    <w:rsid w:val="00BC69A4"/>
    <w:rsid w:val="00BD3773"/>
    <w:rsid w:val="00BE0680"/>
    <w:rsid w:val="00BE305F"/>
    <w:rsid w:val="00BE791C"/>
    <w:rsid w:val="00BE7BA3"/>
    <w:rsid w:val="00BF5682"/>
    <w:rsid w:val="00BF7B09"/>
    <w:rsid w:val="00C20A95"/>
    <w:rsid w:val="00C2692F"/>
    <w:rsid w:val="00C3207C"/>
    <w:rsid w:val="00C400E1"/>
    <w:rsid w:val="00C41187"/>
    <w:rsid w:val="00C63C31"/>
    <w:rsid w:val="00C757A0"/>
    <w:rsid w:val="00C760DE"/>
    <w:rsid w:val="00C82630"/>
    <w:rsid w:val="00C85B4E"/>
    <w:rsid w:val="00C907F7"/>
    <w:rsid w:val="00C973D0"/>
    <w:rsid w:val="00CA2103"/>
    <w:rsid w:val="00CB6B99"/>
    <w:rsid w:val="00CE4C87"/>
    <w:rsid w:val="00CE544A"/>
    <w:rsid w:val="00D11E1C"/>
    <w:rsid w:val="00D160B0"/>
    <w:rsid w:val="00D17F94"/>
    <w:rsid w:val="00D223FC"/>
    <w:rsid w:val="00D26D1E"/>
    <w:rsid w:val="00D474CF"/>
    <w:rsid w:val="00D5547E"/>
    <w:rsid w:val="00D869A1"/>
    <w:rsid w:val="00DA413F"/>
    <w:rsid w:val="00DA4584"/>
    <w:rsid w:val="00DA614B"/>
    <w:rsid w:val="00DC3060"/>
    <w:rsid w:val="00DE0FB2"/>
    <w:rsid w:val="00DE37FA"/>
    <w:rsid w:val="00DF093E"/>
    <w:rsid w:val="00E01F42"/>
    <w:rsid w:val="00E206D6"/>
    <w:rsid w:val="00E3366E"/>
    <w:rsid w:val="00E52086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A1670"/>
    <w:rsid w:val="00ED52CA"/>
    <w:rsid w:val="00ED5860"/>
    <w:rsid w:val="00EE35C9"/>
    <w:rsid w:val="00F05ECA"/>
    <w:rsid w:val="00F3566E"/>
    <w:rsid w:val="00F375FB"/>
    <w:rsid w:val="00F41AC1"/>
    <w:rsid w:val="00F4367A"/>
    <w:rsid w:val="00F445B1"/>
    <w:rsid w:val="00F45CD4"/>
    <w:rsid w:val="00F66DCA"/>
    <w:rsid w:val="00F74F34"/>
    <w:rsid w:val="00F74F53"/>
    <w:rsid w:val="00F7606D"/>
    <w:rsid w:val="00F81670"/>
    <w:rsid w:val="00F81906"/>
    <w:rsid w:val="00F82024"/>
    <w:rsid w:val="00F95BC9"/>
    <w:rsid w:val="00FA624C"/>
    <w:rsid w:val="00FD0FAC"/>
    <w:rsid w:val="00FD1DFA"/>
    <w:rsid w:val="00FD496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paragraph" w:customStyle="1" w:styleId="ReportPara">
    <w:name w:val="Report Para"/>
    <w:basedOn w:val="Normal"/>
    <w:rsid w:val="00454E6D"/>
    <w:pPr>
      <w:tabs>
        <w:tab w:val="num" w:pos="792"/>
      </w:tabs>
      <w:ind w:left="792" w:hanging="432"/>
    </w:pPr>
    <w:rPr>
      <w:rFonts w:ascii="Gill Sans MT" w:hAnsi="Gill Sans MT"/>
      <w:color w:val="auto"/>
      <w:szCs w:val="20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paragraph" w:customStyle="1" w:styleId="ReportPara">
    <w:name w:val="Report Para"/>
    <w:basedOn w:val="Normal"/>
    <w:rsid w:val="00454E6D"/>
    <w:pPr>
      <w:tabs>
        <w:tab w:val="num" w:pos="792"/>
      </w:tabs>
      <w:ind w:left="792" w:hanging="432"/>
    </w:pPr>
    <w:rPr>
      <w:rFonts w:ascii="Gill Sans MT" w:hAnsi="Gill Sans MT"/>
      <w:color w:val="auto"/>
      <w:szCs w:val="20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7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58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4E2CF-7173-4F70-9937-684CD4AE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9E09583</Template>
  <TotalTime>7</TotalTime>
  <Pages>4</Pages>
  <Words>1313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caroline.green</dc:creator>
  <cp:lastModifiedBy>sclaridge</cp:lastModifiedBy>
  <cp:revision>5</cp:revision>
  <cp:lastPrinted>2015-07-03T13:50:00Z</cp:lastPrinted>
  <dcterms:created xsi:type="dcterms:W3CDTF">2016-12-12T11:45:00Z</dcterms:created>
  <dcterms:modified xsi:type="dcterms:W3CDTF">2016-12-12T13:42:00Z</dcterms:modified>
</cp:coreProperties>
</file>